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C2213" w14:textId="77777777" w:rsidR="00305AF2" w:rsidRPr="00D7302F" w:rsidRDefault="00A57A38">
      <w:pPr>
        <w:rPr>
          <w:rFonts w:ascii="Arial" w:hAnsi="Arial" w:cs="Arial"/>
          <w:sz w:val="20"/>
          <w:szCs w:val="20"/>
        </w:rPr>
      </w:pPr>
      <w:r w:rsidRPr="00D7302F">
        <w:rPr>
          <w:rFonts w:ascii="Arial" w:hAnsi="Arial" w:cs="Arial"/>
          <w:noProof/>
          <w:sz w:val="20"/>
          <w:szCs w:val="20"/>
          <w:lang w:eastAsia="es-CO"/>
        </w:rPr>
        <w:drawing>
          <wp:inline distT="0" distB="0" distL="0" distR="0" wp14:anchorId="6889F476" wp14:editId="0F7452A0">
            <wp:extent cx="2219325" cy="519214"/>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519214"/>
                    </a:xfrm>
                    <a:prstGeom prst="rect">
                      <a:avLst/>
                    </a:prstGeom>
                  </pic:spPr>
                </pic:pic>
              </a:graphicData>
            </a:graphic>
          </wp:inline>
        </w:drawing>
      </w:r>
    </w:p>
    <w:p w14:paraId="4AAC35B2" w14:textId="1029FB8E" w:rsidR="00A57A38" w:rsidRPr="00D7302F" w:rsidRDefault="00A57A38" w:rsidP="00A57A38">
      <w:pPr>
        <w:jc w:val="center"/>
        <w:rPr>
          <w:rFonts w:ascii="Arial" w:hAnsi="Arial" w:cs="Arial"/>
          <w:b/>
          <w:sz w:val="20"/>
          <w:szCs w:val="20"/>
        </w:rPr>
      </w:pPr>
      <w:r w:rsidRPr="00D7302F">
        <w:rPr>
          <w:rFonts w:ascii="Arial" w:hAnsi="Arial" w:cs="Arial"/>
          <w:b/>
          <w:sz w:val="20"/>
          <w:szCs w:val="20"/>
        </w:rPr>
        <w:t>Formato de Requerimientos técnicos de referencia para la contratación de bienes y servicios</w:t>
      </w:r>
    </w:p>
    <w:p w14:paraId="4B94D8E3" w14:textId="77777777" w:rsidR="00A57A38" w:rsidRPr="00D7302F" w:rsidRDefault="00A57A38">
      <w:pPr>
        <w:rPr>
          <w:rFonts w:ascii="Arial" w:hAnsi="Arial" w:cs="Arial"/>
          <w:sz w:val="20"/>
          <w:szCs w:val="20"/>
        </w:rPr>
      </w:pPr>
    </w:p>
    <w:tbl>
      <w:tblPr>
        <w:tblW w:w="4990" w:type="pct"/>
        <w:tblLayout w:type="fixed"/>
        <w:tblCellMar>
          <w:left w:w="70" w:type="dxa"/>
          <w:right w:w="70" w:type="dxa"/>
        </w:tblCellMar>
        <w:tblLook w:val="04A0" w:firstRow="1" w:lastRow="0" w:firstColumn="1" w:lastColumn="0" w:noHBand="0" w:noVBand="1"/>
      </w:tblPr>
      <w:tblGrid>
        <w:gridCol w:w="2105"/>
        <w:gridCol w:w="6687"/>
      </w:tblGrid>
      <w:tr w:rsidR="00A57A38" w:rsidRPr="00D7302F" w14:paraId="046D982A" w14:textId="77777777" w:rsidTr="00607F80">
        <w:trPr>
          <w:trHeight w:val="570"/>
        </w:trPr>
        <w:tc>
          <w:tcPr>
            <w:tcW w:w="1197" w:type="pct"/>
            <w:tcBorders>
              <w:top w:val="double" w:sz="6" w:space="0" w:color="auto"/>
              <w:left w:val="double" w:sz="6" w:space="0" w:color="auto"/>
              <w:bottom w:val="single" w:sz="4" w:space="0" w:color="auto"/>
              <w:right w:val="nil"/>
            </w:tcBorders>
            <w:shd w:val="clear" w:color="auto" w:fill="auto"/>
            <w:vAlign w:val="center"/>
            <w:hideMark/>
          </w:tcPr>
          <w:p w14:paraId="28515389"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Instancia encargada del levantamiento de requerimientos</w:t>
            </w:r>
          </w:p>
        </w:tc>
        <w:tc>
          <w:tcPr>
            <w:tcW w:w="3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FE64CB" w14:textId="0AB3B39F" w:rsidR="00A57A38" w:rsidRPr="00D7302F" w:rsidRDefault="00BE2F3A" w:rsidP="00A57A38">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Subdirección de Estándares y A</w:t>
            </w:r>
            <w:r w:rsidR="006C4B45" w:rsidRPr="00D7302F">
              <w:rPr>
                <w:rFonts w:ascii="Arial" w:eastAsia="Times New Roman" w:hAnsi="Arial" w:cs="Arial"/>
                <w:b/>
                <w:bCs/>
                <w:color w:val="000000"/>
                <w:sz w:val="20"/>
                <w:szCs w:val="20"/>
                <w:lang w:eastAsia="es-CO"/>
              </w:rPr>
              <w:t>rquitectura</w:t>
            </w:r>
            <w:r w:rsidR="00A57A38" w:rsidRPr="00D7302F">
              <w:rPr>
                <w:rFonts w:ascii="Arial" w:eastAsia="Times New Roman" w:hAnsi="Arial" w:cs="Arial"/>
                <w:b/>
                <w:bCs/>
                <w:color w:val="000000"/>
                <w:sz w:val="20"/>
                <w:szCs w:val="20"/>
                <w:lang w:eastAsia="es-CO"/>
              </w:rPr>
              <w:t> </w:t>
            </w:r>
            <w:r>
              <w:rPr>
                <w:rFonts w:ascii="Arial" w:eastAsia="Times New Roman" w:hAnsi="Arial" w:cs="Arial"/>
                <w:b/>
                <w:bCs/>
                <w:color w:val="000000"/>
                <w:sz w:val="20"/>
                <w:szCs w:val="20"/>
                <w:lang w:eastAsia="es-CO"/>
              </w:rPr>
              <w:t xml:space="preserve">- </w:t>
            </w:r>
            <w:r w:rsidRPr="0039375D">
              <w:rPr>
                <w:rFonts w:ascii="Arial" w:eastAsia="Times New Roman" w:hAnsi="Arial" w:cs="Arial"/>
                <w:b/>
                <w:bCs/>
                <w:sz w:val="20"/>
                <w:szCs w:val="20"/>
                <w:lang w:eastAsia="es-CO"/>
              </w:rPr>
              <w:t>Grupo de Seguridad y Privacidad TI – CSIRT Gobierno</w:t>
            </w:r>
            <w:r>
              <w:rPr>
                <w:rStyle w:val="eop"/>
                <w:rFonts w:ascii="Calibri" w:hAnsi="Calibri" w:cs="Calibri"/>
                <w:color w:val="000000"/>
                <w:shd w:val="clear" w:color="auto" w:fill="FFFFFF"/>
              </w:rPr>
              <w:t> </w:t>
            </w:r>
          </w:p>
        </w:tc>
      </w:tr>
      <w:tr w:rsidR="00A57A38" w:rsidRPr="00D7302F" w14:paraId="666FCFE3" w14:textId="77777777" w:rsidTr="00607F80">
        <w:trPr>
          <w:trHeight w:val="67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7B73439E"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Justificación de la necesidad</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5111D7FA" w14:textId="339180A9" w:rsidR="00BE2F3A" w:rsidRDefault="00BE2F3A" w:rsidP="00BE2F3A">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Apoyando la implementación y consolidación de la Política de Gobierno Digital y coadyuvando al cumpliendo el objetivo de la misma el cual promueve el uso y aprovechamiento de las tecnologías de la información y las comunicaciones para la consolidación del Estado y de ciudadanos competitivos, proactivos, e innovadores, que generen valor público en un entorno de confianza digital.</w:t>
            </w:r>
            <w:r>
              <w:rPr>
                <w:rStyle w:val="eop"/>
                <w:rFonts w:ascii="Calibri" w:hAnsi="Calibri" w:cs="Calibri"/>
                <w:sz w:val="22"/>
                <w:szCs w:val="22"/>
              </w:rPr>
              <w:t> </w:t>
            </w:r>
          </w:p>
          <w:p w14:paraId="5DC2B5EE" w14:textId="77777777" w:rsidR="0039375D" w:rsidRDefault="0039375D" w:rsidP="00BE2F3A">
            <w:pPr>
              <w:pStyle w:val="paragraph"/>
              <w:spacing w:before="0" w:beforeAutospacing="0" w:after="0" w:afterAutospacing="0"/>
              <w:jc w:val="both"/>
              <w:textAlignment w:val="baseline"/>
              <w:rPr>
                <w:rFonts w:ascii="Segoe UI" w:hAnsi="Segoe UI" w:cs="Segoe UI"/>
                <w:sz w:val="18"/>
                <w:szCs w:val="18"/>
              </w:rPr>
            </w:pPr>
          </w:p>
          <w:p w14:paraId="3497654B" w14:textId="7C353A07" w:rsidR="00BE2F3A" w:rsidRDefault="0039375D" w:rsidP="00BE2F3A">
            <w:pPr>
              <w:pStyle w:val="paragraph"/>
              <w:spacing w:before="0" w:beforeAutospacing="0" w:after="0" w:afterAutospacing="0"/>
              <w:jc w:val="both"/>
              <w:textAlignment w:val="baseline"/>
              <w:rPr>
                <w:rFonts w:ascii="Arial" w:hAnsi="Arial" w:cs="Arial"/>
                <w:color w:val="000000" w:themeColor="text1"/>
                <w:sz w:val="20"/>
                <w:szCs w:val="20"/>
              </w:rPr>
            </w:pPr>
            <w:r w:rsidRPr="0039375D">
              <w:rPr>
                <w:rStyle w:val="normaltextrun"/>
                <w:rFonts w:ascii="Calibri" w:hAnsi="Calibri" w:cs="Calibri"/>
                <w:sz w:val="22"/>
                <w:szCs w:val="22"/>
              </w:rPr>
              <w:t>El valor público se relaciona con el desarrollo social, la gobernanza, la garantía de derechos, la satisfacción de necesidades y la prestación de servicios de calidad. No sólo es hacer uso de las tecnologías, sino cómo las tecnologías ayudan a resolver problemas reales</w:t>
            </w:r>
            <w:r>
              <w:rPr>
                <w:rStyle w:val="normaltextrun"/>
                <w:rFonts w:ascii="Calibri" w:hAnsi="Calibri" w:cs="Calibri"/>
                <w:sz w:val="22"/>
                <w:szCs w:val="22"/>
              </w:rPr>
              <w:t xml:space="preserve">, igualmente </w:t>
            </w:r>
            <w:r w:rsidRPr="0039375D">
              <w:rPr>
                <w:rStyle w:val="normaltextrun"/>
                <w:rFonts w:ascii="Calibri" w:hAnsi="Calibri" w:cs="Calibri"/>
                <w:sz w:val="22"/>
                <w:szCs w:val="22"/>
              </w:rPr>
              <w:t>es lograr que el Estado llegue a donde no llega el mercado, y posibilitar la creación de nuevos mercados.</w:t>
            </w:r>
          </w:p>
          <w:p w14:paraId="11CA5377" w14:textId="77777777" w:rsidR="0039375D" w:rsidRDefault="0039375D" w:rsidP="00BE2F3A">
            <w:pPr>
              <w:pStyle w:val="paragraph"/>
              <w:spacing w:before="0" w:beforeAutospacing="0" w:after="0" w:afterAutospacing="0"/>
              <w:jc w:val="both"/>
              <w:textAlignment w:val="baseline"/>
              <w:rPr>
                <w:rFonts w:ascii="Segoe UI" w:hAnsi="Segoe UI" w:cs="Segoe UI"/>
                <w:sz w:val="18"/>
                <w:szCs w:val="18"/>
              </w:rPr>
            </w:pPr>
          </w:p>
          <w:p w14:paraId="2F15AF0F" w14:textId="66ADE650" w:rsidR="00BE2F3A" w:rsidRDefault="0039375D" w:rsidP="00BE2F3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En la actualidad </w:t>
            </w:r>
            <w:r w:rsidR="00BE2F3A">
              <w:rPr>
                <w:rStyle w:val="normaltextrun"/>
                <w:rFonts w:ascii="Calibri" w:hAnsi="Calibri" w:cs="Calibri"/>
                <w:color w:val="000000"/>
                <w:sz w:val="22"/>
                <w:szCs w:val="22"/>
                <w:shd w:val="clear" w:color="auto" w:fill="FFFFFF"/>
              </w:rPr>
              <w:t>se encuentra vigente el Convenio Interadministrativo No 782 de 2018 entre el Ministerio de Tecnologías de la Información y las Comunicaciones y la Policía Nacional, el cual enmarca los esfuerzos técnicos y administrativos para el desarrollo de actividades de acompañamiento y fortalecimiento de la operación del CSIRT de Gobierno el cual empezó su operación en octubre de 2017, recibiendo del CSIRT PONAL el apoyo humano, técnico y de transferencia de conocimiento para el uso de las herramientas tecnológicas para realizar las actividades de análisis, seguimiento y gestión de la infraestructura Tl de las entidades del Estado de nivel nacional y territorial.</w:t>
            </w:r>
            <w:r w:rsidR="00BE2F3A">
              <w:rPr>
                <w:rStyle w:val="eop"/>
                <w:rFonts w:ascii="Calibri" w:hAnsi="Calibri" w:cs="Calibri"/>
                <w:sz w:val="22"/>
                <w:szCs w:val="22"/>
              </w:rPr>
              <w:t> </w:t>
            </w:r>
          </w:p>
          <w:p w14:paraId="6DE9B0DB" w14:textId="63924C3A" w:rsidR="00BE2F3A" w:rsidRDefault="00BE2F3A" w:rsidP="00BE2F3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7E833179" w14:textId="5BB76CE5" w:rsidR="004F2A50" w:rsidRPr="004F2A50" w:rsidRDefault="004F2A50" w:rsidP="00BE2F3A">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004F2A50">
              <w:rPr>
                <w:rStyle w:val="normaltextrun"/>
                <w:rFonts w:ascii="Calibri" w:hAnsi="Calibri" w:cs="Calibri"/>
                <w:color w:val="000000"/>
                <w:sz w:val="22"/>
                <w:szCs w:val="22"/>
                <w:shd w:val="clear" w:color="auto" w:fill="FFFFFF"/>
              </w:rPr>
              <w:t xml:space="preserve">Con la puesta en funcionamiento del CSIRT Gobierno en las instalaciones del Centro de Capacidades para la Ciberseguridad de Colombia, C4 en agosto de 2018, </w:t>
            </w:r>
            <w:r>
              <w:rPr>
                <w:rStyle w:val="normaltextrun"/>
                <w:rFonts w:ascii="Calibri" w:hAnsi="Calibri" w:cs="Calibri"/>
                <w:color w:val="000000"/>
                <w:sz w:val="22"/>
                <w:szCs w:val="22"/>
                <w:shd w:val="clear" w:color="auto" w:fill="FFFFFF"/>
              </w:rPr>
              <w:t>ofreciendo</w:t>
            </w:r>
            <w:r w:rsidRPr="004F2A50">
              <w:rPr>
                <w:rStyle w:val="normaltextrun"/>
                <w:rFonts w:ascii="Calibri" w:hAnsi="Calibri" w:cs="Calibri"/>
                <w:color w:val="000000"/>
                <w:sz w:val="22"/>
                <w:szCs w:val="22"/>
                <w:shd w:val="clear" w:color="auto" w:fill="FFFFFF"/>
              </w:rPr>
              <w:t xml:space="preserve"> servicios proactivos, reactivos y de Gestión de la Seguridad</w:t>
            </w:r>
            <w:r w:rsidR="00114204">
              <w:rPr>
                <w:rStyle w:val="normaltextrun"/>
                <w:rFonts w:ascii="Calibri" w:hAnsi="Calibri" w:cs="Calibri"/>
                <w:color w:val="000000"/>
                <w:sz w:val="22"/>
                <w:szCs w:val="22"/>
                <w:shd w:val="clear" w:color="auto" w:fill="FFFFFF"/>
              </w:rPr>
              <w:t xml:space="preserve"> </w:t>
            </w:r>
            <w:r w:rsidR="00DE1075">
              <w:rPr>
                <w:rStyle w:val="normaltextrun"/>
                <w:rFonts w:ascii="Calibri" w:hAnsi="Calibri" w:cs="Calibri"/>
                <w:color w:val="000000"/>
                <w:sz w:val="22"/>
                <w:szCs w:val="22"/>
                <w:shd w:val="clear" w:color="auto" w:fill="FFFFFF"/>
              </w:rPr>
              <w:t>básicos</w:t>
            </w:r>
            <w:r w:rsidRPr="004F2A50">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 xml:space="preserve">ya para </w:t>
            </w:r>
            <w:r w:rsidRPr="004F2A50">
              <w:rPr>
                <w:rStyle w:val="normaltextrun"/>
                <w:rFonts w:ascii="Calibri" w:hAnsi="Calibri" w:cs="Calibri"/>
                <w:color w:val="000000"/>
                <w:sz w:val="22"/>
                <w:szCs w:val="22"/>
                <w:shd w:val="clear" w:color="auto" w:fill="FFFFFF"/>
              </w:rPr>
              <w:t>el primer semestre de 2019, se amplia el portafolio de servicios</w:t>
            </w:r>
            <w:r w:rsidR="00114204">
              <w:rPr>
                <w:rStyle w:val="normaltextrun"/>
                <w:rFonts w:ascii="Calibri" w:hAnsi="Calibri" w:cs="Calibri"/>
                <w:color w:val="000000"/>
                <w:sz w:val="22"/>
                <w:szCs w:val="22"/>
                <w:shd w:val="clear" w:color="auto" w:fill="FFFFFF"/>
              </w:rPr>
              <w:t xml:space="preserve"> </w:t>
            </w:r>
            <w:r w:rsidR="00DE1075">
              <w:rPr>
                <w:rStyle w:val="normaltextrun"/>
                <w:rFonts w:ascii="Calibri" w:hAnsi="Calibri" w:cs="Calibri"/>
                <w:color w:val="000000"/>
                <w:sz w:val="22"/>
                <w:szCs w:val="22"/>
                <w:shd w:val="clear" w:color="auto" w:fill="FFFFFF"/>
              </w:rPr>
              <w:t>básicos</w:t>
            </w:r>
            <w:r w:rsidRPr="004F2A50">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 xml:space="preserve">teniendo en cuenta </w:t>
            </w:r>
            <w:r w:rsidRPr="004F2A50">
              <w:rPr>
                <w:rStyle w:val="normaltextrun"/>
                <w:rFonts w:ascii="Calibri" w:hAnsi="Calibri" w:cs="Calibri"/>
                <w:color w:val="000000"/>
                <w:sz w:val="22"/>
                <w:szCs w:val="22"/>
                <w:shd w:val="clear" w:color="auto" w:fill="FFFFFF"/>
              </w:rPr>
              <w:t>la consecución de nuevas herramientas de seguridad</w:t>
            </w:r>
            <w:r>
              <w:rPr>
                <w:rStyle w:val="normaltextrun"/>
                <w:rFonts w:ascii="Calibri" w:hAnsi="Calibri" w:cs="Calibri"/>
                <w:color w:val="000000"/>
                <w:sz w:val="22"/>
                <w:szCs w:val="22"/>
                <w:shd w:val="clear" w:color="auto" w:fill="FFFFFF"/>
              </w:rPr>
              <w:t xml:space="preserve"> que permiten ampliar</w:t>
            </w:r>
            <w:r w:rsidRPr="004F2A50">
              <w:rPr>
                <w:rStyle w:val="normaltextrun"/>
                <w:rFonts w:ascii="Calibri" w:hAnsi="Calibri" w:cs="Calibri"/>
                <w:color w:val="000000"/>
                <w:sz w:val="22"/>
                <w:szCs w:val="22"/>
                <w:shd w:val="clear" w:color="auto" w:fill="FFFFFF"/>
              </w:rPr>
              <w:t xml:space="preserve"> las capacidades del CSIRT Gobierno.  </w:t>
            </w:r>
          </w:p>
          <w:p w14:paraId="48E62B98" w14:textId="77777777" w:rsidR="004F2A50" w:rsidRDefault="004F2A50" w:rsidP="00BE2F3A">
            <w:pPr>
              <w:pStyle w:val="paragraph"/>
              <w:spacing w:before="0" w:beforeAutospacing="0" w:after="0" w:afterAutospacing="0"/>
              <w:jc w:val="both"/>
              <w:textAlignment w:val="baseline"/>
              <w:rPr>
                <w:rFonts w:ascii="Segoe UI" w:hAnsi="Segoe UI" w:cs="Segoe UI"/>
                <w:sz w:val="18"/>
                <w:szCs w:val="18"/>
              </w:rPr>
            </w:pPr>
          </w:p>
          <w:p w14:paraId="478C9096" w14:textId="71329F4F" w:rsidR="00114204" w:rsidRDefault="00BE2F3A" w:rsidP="00BE2F3A">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Teniendo en cuenta lo anterior, se requiere </w:t>
            </w:r>
            <w:r w:rsidR="00883100">
              <w:rPr>
                <w:rStyle w:val="normaltextrun"/>
                <w:rFonts w:ascii="Calibri" w:hAnsi="Calibri" w:cs="Calibri"/>
                <w:color w:val="000000"/>
                <w:sz w:val="22"/>
                <w:szCs w:val="22"/>
              </w:rPr>
              <w:t>adquirir</w:t>
            </w:r>
            <w:r w:rsidR="00114204">
              <w:rPr>
                <w:rStyle w:val="normaltextrun"/>
                <w:rFonts w:ascii="Calibri" w:hAnsi="Calibri" w:cs="Calibri"/>
                <w:color w:val="000000"/>
                <w:sz w:val="22"/>
                <w:szCs w:val="22"/>
              </w:rPr>
              <w:t xml:space="preserve"> solución tecnológica-software y Hardware que permitan gestionar los diferentes requerimientos de incidentes de las Entidades del Estado y establecer cuando un portal o un servicio ciudadano se encuentra indisponible.</w:t>
            </w:r>
          </w:p>
          <w:p w14:paraId="46874D86" w14:textId="77777777" w:rsidR="00114204" w:rsidRDefault="00114204" w:rsidP="00BE2F3A">
            <w:pPr>
              <w:pStyle w:val="paragraph"/>
              <w:spacing w:before="0" w:beforeAutospacing="0" w:after="0" w:afterAutospacing="0"/>
              <w:jc w:val="both"/>
              <w:textAlignment w:val="baseline"/>
              <w:rPr>
                <w:rStyle w:val="normaltextrun"/>
                <w:rFonts w:ascii="Calibri" w:hAnsi="Calibri" w:cs="Calibri"/>
                <w:color w:val="000000"/>
                <w:sz w:val="22"/>
                <w:szCs w:val="22"/>
              </w:rPr>
            </w:pPr>
          </w:p>
          <w:p w14:paraId="361B24F9" w14:textId="3D4F19D8" w:rsidR="00114204" w:rsidRDefault="00A34A8B" w:rsidP="00BE2F3A">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lastRenderedPageBreak/>
              <w:t>P</w:t>
            </w:r>
            <w:r>
              <w:rPr>
                <w:rStyle w:val="normaltextrun"/>
                <w:rFonts w:ascii="Calibri" w:hAnsi="Calibri" w:cs="Calibri"/>
                <w:color w:val="000000"/>
              </w:rPr>
              <w:t xml:space="preserve">ara realizar el monitoreo de disponibilidad de sitios web </w:t>
            </w:r>
            <w:r w:rsidR="00D551F8">
              <w:rPr>
                <w:rStyle w:val="normaltextrun"/>
                <w:rFonts w:ascii="Calibri" w:hAnsi="Calibri" w:cs="Calibri"/>
                <w:color w:val="000000"/>
                <w:sz w:val="22"/>
                <w:szCs w:val="22"/>
              </w:rPr>
              <w:t xml:space="preserve">se requiere una infraestructura tecnológica (Software y Hardware) </w:t>
            </w:r>
            <w:r w:rsidR="00D551F8" w:rsidRPr="00114204">
              <w:rPr>
                <w:rStyle w:val="normaltextrun"/>
                <w:rFonts w:ascii="Calibri" w:hAnsi="Calibri" w:cs="Calibri"/>
                <w:color w:val="000000"/>
                <w:sz w:val="22"/>
                <w:szCs w:val="22"/>
              </w:rPr>
              <w:t>ON Premise</w:t>
            </w:r>
            <w:r w:rsidR="00D551F8">
              <w:rPr>
                <w:rStyle w:val="normaltextrun"/>
                <w:rFonts w:ascii="Calibri" w:hAnsi="Calibri" w:cs="Calibri"/>
                <w:color w:val="000000"/>
                <w:sz w:val="22"/>
                <w:szCs w:val="22"/>
              </w:rPr>
              <w:t xml:space="preserve">, para el monitoreo de </w:t>
            </w:r>
            <w:r w:rsidR="00DE1075">
              <w:rPr>
                <w:rStyle w:val="normaltextrun"/>
                <w:rFonts w:ascii="Calibri" w:hAnsi="Calibri" w:cs="Calibri"/>
                <w:color w:val="000000"/>
                <w:sz w:val="22"/>
                <w:szCs w:val="22"/>
              </w:rPr>
              <w:t xml:space="preserve">disponibilidad </w:t>
            </w:r>
            <w:r w:rsidR="00D551F8">
              <w:rPr>
                <w:rStyle w:val="normaltextrun"/>
                <w:rFonts w:ascii="Calibri" w:hAnsi="Calibri" w:cs="Calibri"/>
                <w:color w:val="000000"/>
                <w:sz w:val="22"/>
                <w:szCs w:val="22"/>
              </w:rPr>
              <w:t xml:space="preserve">de servicios de dominios y subdominios </w:t>
            </w:r>
            <w:r w:rsidR="00E83AE2">
              <w:rPr>
                <w:rStyle w:val="normaltextrun"/>
                <w:rFonts w:ascii="Calibri" w:hAnsi="Calibri" w:cs="Calibri"/>
                <w:color w:val="000000"/>
                <w:sz w:val="22"/>
                <w:szCs w:val="22"/>
              </w:rPr>
              <w:t xml:space="preserve">en cada uno de los 12.000 portales GOV.CO </w:t>
            </w:r>
            <w:r w:rsidR="00D551F8">
              <w:rPr>
                <w:rStyle w:val="normaltextrun"/>
                <w:rFonts w:ascii="Calibri" w:hAnsi="Calibri" w:cs="Calibri"/>
                <w:color w:val="000000"/>
                <w:sz w:val="22"/>
                <w:szCs w:val="22"/>
              </w:rPr>
              <w:t xml:space="preserve">de las entidades del estado a nivel nacional y territorial, esta solución permitirá informar y alertar en tiempo real a través de correo electrónicos al administrador de la plataforma de la entidad cuando su servicios ciudadanos se encuentran fuera de servicio, con el fin de que tome las acciones necesarias para su restablecimiento. </w:t>
            </w:r>
          </w:p>
          <w:p w14:paraId="12F93EFB" w14:textId="77777777" w:rsidR="00114204" w:rsidRDefault="00114204" w:rsidP="00BE2F3A">
            <w:pPr>
              <w:pStyle w:val="paragraph"/>
              <w:spacing w:before="0" w:beforeAutospacing="0" w:after="0" w:afterAutospacing="0"/>
              <w:jc w:val="both"/>
              <w:textAlignment w:val="baseline"/>
              <w:rPr>
                <w:rStyle w:val="normaltextrun"/>
                <w:rFonts w:ascii="Calibri" w:hAnsi="Calibri" w:cs="Calibri"/>
                <w:color w:val="000000"/>
                <w:sz w:val="22"/>
                <w:szCs w:val="22"/>
              </w:rPr>
            </w:pPr>
          </w:p>
          <w:p w14:paraId="6C4677D3" w14:textId="624BC305" w:rsidR="00EC7CC3" w:rsidRPr="00D7302F" w:rsidRDefault="00EC7CC3" w:rsidP="00D551F8">
            <w:pPr>
              <w:pStyle w:val="paragraph"/>
              <w:spacing w:before="0" w:beforeAutospacing="0" w:after="0" w:afterAutospacing="0"/>
              <w:jc w:val="both"/>
              <w:textAlignment w:val="baseline"/>
              <w:rPr>
                <w:rFonts w:ascii="Arial" w:hAnsi="Arial" w:cs="Arial"/>
                <w:color w:val="000000" w:themeColor="text1"/>
                <w:sz w:val="20"/>
                <w:szCs w:val="20"/>
              </w:rPr>
            </w:pPr>
          </w:p>
        </w:tc>
      </w:tr>
      <w:tr w:rsidR="00A57A38" w:rsidRPr="00D7302F" w14:paraId="31F7BDB1" w14:textId="77777777" w:rsidTr="00607F80">
        <w:trPr>
          <w:trHeight w:val="87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6A872994" w14:textId="6A810161"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lastRenderedPageBreak/>
              <w:t>Objetivo general del requerimiento técnico</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5E53051B" w14:textId="4824D7C7" w:rsidR="0039375D" w:rsidRPr="00D7302F" w:rsidRDefault="00E83AE2" w:rsidP="00ED4E9A">
            <w:pPr>
              <w:spacing w:after="0" w:line="240" w:lineRule="auto"/>
              <w:jc w:val="both"/>
              <w:rPr>
                <w:rFonts w:ascii="Arial" w:eastAsia="Times New Roman" w:hAnsi="Arial" w:cs="Arial"/>
                <w:color w:val="808080"/>
                <w:sz w:val="20"/>
                <w:szCs w:val="20"/>
                <w:lang w:eastAsia="es-CO"/>
              </w:rPr>
            </w:pPr>
            <w:r>
              <w:rPr>
                <w:rStyle w:val="normaltextrun"/>
                <w:rFonts w:ascii="Calibri" w:hAnsi="Calibri" w:cs="Calibri"/>
                <w:color w:val="000000"/>
                <w:shd w:val="clear" w:color="auto" w:fill="FFFFFF"/>
              </w:rPr>
              <w:t xml:space="preserve">Adquirir </w:t>
            </w:r>
            <w:r w:rsidR="00883100">
              <w:rPr>
                <w:rStyle w:val="normaltextrun"/>
                <w:rFonts w:ascii="Calibri" w:hAnsi="Calibri" w:cs="Calibri"/>
                <w:color w:val="000000"/>
                <w:shd w:val="clear" w:color="auto" w:fill="FFFFFF"/>
              </w:rPr>
              <w:t>un</w:t>
            </w:r>
            <w:r>
              <w:rPr>
                <w:rStyle w:val="normaltextrun"/>
                <w:rFonts w:ascii="Calibri" w:hAnsi="Calibri" w:cs="Calibri"/>
                <w:color w:val="000000"/>
                <w:shd w:val="clear" w:color="auto" w:fill="FFFFFF"/>
              </w:rPr>
              <w:t>a</w:t>
            </w:r>
            <w:r w:rsidR="00883100">
              <w:rPr>
                <w:rStyle w:val="normaltextrun"/>
                <w:rFonts w:ascii="Calibri" w:hAnsi="Calibri" w:cs="Calibri"/>
                <w:color w:val="000000"/>
                <w:shd w:val="clear" w:color="auto" w:fill="FFFFFF"/>
              </w:rPr>
              <w:t xml:space="preserve"> </w:t>
            </w:r>
            <w:r w:rsidR="00ED4E9A">
              <w:rPr>
                <w:rStyle w:val="normaltextrun"/>
                <w:rFonts w:ascii="Calibri" w:hAnsi="Calibri" w:cs="Calibri"/>
                <w:color w:val="000000"/>
              </w:rPr>
              <w:t>solución</w:t>
            </w:r>
            <w:r>
              <w:rPr>
                <w:rStyle w:val="normaltextrun"/>
                <w:rFonts w:ascii="Calibri" w:hAnsi="Calibri" w:cs="Calibri"/>
                <w:color w:val="000000"/>
              </w:rPr>
              <w:t xml:space="preserve"> te</w:t>
            </w:r>
            <w:r w:rsidR="00ED4E9A">
              <w:rPr>
                <w:rStyle w:val="normaltextrun"/>
                <w:rFonts w:ascii="Calibri" w:hAnsi="Calibri" w:cs="Calibri"/>
                <w:color w:val="000000"/>
              </w:rPr>
              <w:t>cnológica física o en nube</w:t>
            </w:r>
            <w:r>
              <w:rPr>
                <w:rStyle w:val="normaltextrun"/>
                <w:rFonts w:ascii="Calibri" w:hAnsi="Calibri" w:cs="Calibri"/>
                <w:color w:val="000000"/>
              </w:rPr>
              <w:t xml:space="preserve">, para el monitoreo de </w:t>
            </w:r>
            <w:r w:rsidR="00ED4E9A">
              <w:rPr>
                <w:rStyle w:val="normaltextrun"/>
                <w:rFonts w:ascii="Calibri" w:hAnsi="Calibri" w:cs="Calibri"/>
                <w:color w:val="000000"/>
              </w:rPr>
              <w:t xml:space="preserve">disponibilidad de </w:t>
            </w:r>
            <w:r w:rsidR="00B63172">
              <w:rPr>
                <w:rStyle w:val="normaltextrun"/>
                <w:rFonts w:ascii="Calibri" w:hAnsi="Calibri" w:cs="Calibri"/>
                <w:color w:val="000000"/>
              </w:rPr>
              <w:t xml:space="preserve">las </w:t>
            </w:r>
            <w:r w:rsidR="00ED4E9A">
              <w:rPr>
                <w:rStyle w:val="normaltextrun"/>
                <w:rFonts w:ascii="Calibri" w:hAnsi="Calibri" w:cs="Calibri"/>
                <w:color w:val="000000"/>
              </w:rPr>
              <w:t xml:space="preserve">URL publicadas en internet de los dominios </w:t>
            </w:r>
            <w:r>
              <w:rPr>
                <w:rStyle w:val="normaltextrun"/>
                <w:rFonts w:ascii="Calibri" w:hAnsi="Calibri" w:cs="Calibri"/>
                <w:color w:val="000000"/>
              </w:rPr>
              <w:t xml:space="preserve">de las </w:t>
            </w:r>
            <w:r w:rsidR="00E83840">
              <w:rPr>
                <w:rStyle w:val="normaltextrun"/>
                <w:rFonts w:ascii="Calibri" w:hAnsi="Calibri" w:cs="Calibri"/>
                <w:color w:val="000000"/>
              </w:rPr>
              <w:t>E</w:t>
            </w:r>
            <w:r>
              <w:rPr>
                <w:rStyle w:val="normaltextrun"/>
                <w:rFonts w:ascii="Calibri" w:hAnsi="Calibri" w:cs="Calibri"/>
                <w:color w:val="000000"/>
              </w:rPr>
              <w:t xml:space="preserve">ntidades del </w:t>
            </w:r>
            <w:r w:rsidR="00E83840">
              <w:rPr>
                <w:rStyle w:val="normaltextrun"/>
                <w:rFonts w:ascii="Calibri" w:hAnsi="Calibri" w:cs="Calibri"/>
                <w:color w:val="000000"/>
              </w:rPr>
              <w:t>E</w:t>
            </w:r>
            <w:r>
              <w:rPr>
                <w:rStyle w:val="normaltextrun"/>
                <w:rFonts w:ascii="Calibri" w:hAnsi="Calibri" w:cs="Calibri"/>
                <w:color w:val="000000"/>
              </w:rPr>
              <w:t xml:space="preserve">stado </w:t>
            </w:r>
            <w:r w:rsidR="00B63172">
              <w:rPr>
                <w:rStyle w:val="normaltextrun"/>
                <w:rFonts w:ascii="Calibri" w:hAnsi="Calibri" w:cs="Calibri"/>
                <w:color w:val="000000"/>
              </w:rPr>
              <w:t xml:space="preserve"> Colombiano</w:t>
            </w:r>
            <w:r>
              <w:rPr>
                <w:rStyle w:val="normaltextrun"/>
                <w:rFonts w:ascii="Calibri" w:hAnsi="Calibri" w:cs="Calibri"/>
                <w:color w:val="000000"/>
              </w:rPr>
              <w:t>.</w:t>
            </w:r>
          </w:p>
        </w:tc>
      </w:tr>
      <w:tr w:rsidR="00A57A38" w:rsidRPr="00D7302F" w14:paraId="6A3845A1" w14:textId="77777777" w:rsidTr="00607F80">
        <w:trPr>
          <w:trHeight w:val="145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083503D3" w14:textId="587BE4FB"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 xml:space="preserve">Alcance del requerimiento </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3CDC4B0F" w14:textId="3A395C4C" w:rsidR="00DE1075" w:rsidRPr="00F75A54" w:rsidRDefault="00B63172" w:rsidP="00B63172">
            <w:pPr>
              <w:spacing w:after="0" w:line="240" w:lineRule="auto"/>
              <w:jc w:val="both"/>
              <w:rPr>
                <w:rFonts w:ascii="Arial" w:eastAsia="Times New Roman" w:hAnsi="Arial" w:cs="Arial"/>
                <w:sz w:val="20"/>
                <w:szCs w:val="20"/>
                <w:lang w:eastAsia="es-CO"/>
              </w:rPr>
            </w:pPr>
            <w:r w:rsidRPr="00B63172">
              <w:rPr>
                <w:rFonts w:ascii="Calibri" w:hAnsi="Calibri" w:cs="Calibri"/>
                <w:color w:val="000000"/>
              </w:rPr>
              <w:t>Adquirir una solución tecnológica física o en nube, para el monitoreo de disponibilidad de las URL publicadas en internet de los dominios de las Entidades del Estado  Colombiano.</w:t>
            </w:r>
            <w:r>
              <w:rPr>
                <w:rFonts w:ascii="Calibri" w:hAnsi="Calibri" w:cs="Calibri"/>
                <w:color w:val="000000"/>
              </w:rPr>
              <w:t xml:space="preserve"> Para mínimo </w:t>
            </w:r>
            <w:r w:rsidR="00DE1075">
              <w:rPr>
                <w:rStyle w:val="normaltextrun"/>
                <w:rFonts w:ascii="Calibri" w:hAnsi="Calibri" w:cs="Calibri"/>
                <w:color w:val="000000"/>
              </w:rPr>
              <w:t xml:space="preserve">DOCE MIL (12.000) </w:t>
            </w:r>
            <w:r>
              <w:rPr>
                <w:rStyle w:val="normaltextrun"/>
                <w:rFonts w:ascii="Calibri" w:hAnsi="Calibri" w:cs="Calibri"/>
                <w:color w:val="000000"/>
              </w:rPr>
              <w:t>URL de dominios GOV.CO</w:t>
            </w:r>
          </w:p>
        </w:tc>
      </w:tr>
      <w:tr w:rsidR="00A57A38" w:rsidRPr="00D7302F" w14:paraId="7604C28E" w14:textId="77777777" w:rsidTr="00C20B21">
        <w:trPr>
          <w:trHeight w:val="57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0BD420C3" w14:textId="070A8520"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Aspectos no incluidos en el requerimiento</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63F98233" w14:textId="674AB3EA" w:rsidR="00A57A38" w:rsidRPr="00D7302F" w:rsidRDefault="00717D82" w:rsidP="00C455D3">
            <w:pPr>
              <w:spacing w:after="0" w:line="240" w:lineRule="auto"/>
              <w:rPr>
                <w:rFonts w:ascii="Arial" w:eastAsia="Times New Roman" w:hAnsi="Arial" w:cs="Arial"/>
                <w:color w:val="808080"/>
                <w:sz w:val="20"/>
                <w:szCs w:val="20"/>
                <w:lang w:eastAsia="es-CO"/>
              </w:rPr>
            </w:pPr>
            <w:r w:rsidRPr="00D7302F">
              <w:rPr>
                <w:rFonts w:ascii="Arial" w:eastAsia="Times New Roman" w:hAnsi="Arial" w:cs="Arial"/>
                <w:sz w:val="20"/>
                <w:szCs w:val="20"/>
                <w:lang w:eastAsia="es-CO"/>
              </w:rPr>
              <w:t>N/A</w:t>
            </w:r>
            <w:r w:rsidR="00A57A38" w:rsidRPr="00D7302F">
              <w:rPr>
                <w:rFonts w:ascii="Arial" w:eastAsia="Times New Roman" w:hAnsi="Arial" w:cs="Arial"/>
                <w:sz w:val="20"/>
                <w:szCs w:val="20"/>
                <w:lang w:eastAsia="es-CO"/>
              </w:rPr>
              <w:t> </w:t>
            </w:r>
          </w:p>
        </w:tc>
      </w:tr>
      <w:tr w:rsidR="00A57A38" w:rsidRPr="00D7302F" w14:paraId="7258A0C0" w14:textId="77777777" w:rsidTr="00607F80">
        <w:trPr>
          <w:trHeight w:val="145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2FA8AE3C"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Productos, entregables y resultados esperados</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086510E7" w14:textId="405F8D68" w:rsidR="002F5BBC" w:rsidRPr="00866CD7" w:rsidRDefault="00E83840" w:rsidP="00B86E9E">
            <w:pPr>
              <w:pStyle w:val="Prrafodelista"/>
              <w:numPr>
                <w:ilvl w:val="0"/>
                <w:numId w:val="17"/>
              </w:numPr>
              <w:spacing w:line="256" w:lineRule="auto"/>
              <w:jc w:val="both"/>
              <w:rPr>
                <w:rStyle w:val="normaltextrun"/>
                <w:color w:val="000000"/>
                <w:shd w:val="clear" w:color="auto" w:fill="FFFFFF"/>
              </w:rPr>
            </w:pPr>
            <w:r w:rsidRPr="00866CD7">
              <w:rPr>
                <w:rStyle w:val="normaltextrun"/>
                <w:color w:val="000000"/>
                <w:shd w:val="clear" w:color="auto" w:fill="FFFFFF"/>
              </w:rPr>
              <w:t xml:space="preserve">Solución de disponibilidad de </w:t>
            </w:r>
            <w:r w:rsidR="00B63172">
              <w:rPr>
                <w:rStyle w:val="normaltextrun"/>
                <w:color w:val="000000"/>
                <w:shd w:val="clear" w:color="auto" w:fill="FFFFFF"/>
              </w:rPr>
              <w:t>URL</w:t>
            </w:r>
            <w:r w:rsidR="00866CD7" w:rsidRPr="00866CD7">
              <w:rPr>
                <w:rStyle w:val="normaltextrun"/>
                <w:color w:val="000000"/>
                <w:shd w:val="clear" w:color="auto" w:fill="FFFFFF"/>
              </w:rPr>
              <w:t>, instalada, configurada y operativa.</w:t>
            </w:r>
          </w:p>
          <w:p w14:paraId="153CCD62" w14:textId="098848E5" w:rsidR="00866CD7" w:rsidRDefault="00866CD7" w:rsidP="00B86E9E">
            <w:pPr>
              <w:pStyle w:val="Prrafodelista"/>
              <w:numPr>
                <w:ilvl w:val="0"/>
                <w:numId w:val="17"/>
              </w:numPr>
              <w:spacing w:line="256" w:lineRule="auto"/>
              <w:jc w:val="both"/>
              <w:rPr>
                <w:rStyle w:val="normaltextrun"/>
                <w:color w:val="000000"/>
              </w:rPr>
            </w:pPr>
            <w:r w:rsidRPr="00866CD7">
              <w:rPr>
                <w:rStyle w:val="normaltextrun"/>
                <w:color w:val="000000"/>
                <w:shd w:val="clear" w:color="auto" w:fill="FFFFFF"/>
              </w:rPr>
              <w:t>Manuales de administración y</w:t>
            </w:r>
            <w:r>
              <w:rPr>
                <w:rStyle w:val="normaltextrun"/>
                <w:color w:val="000000"/>
              </w:rPr>
              <w:t xml:space="preserve"> usuarios.</w:t>
            </w:r>
          </w:p>
          <w:p w14:paraId="589FE7B1" w14:textId="02341E25" w:rsidR="00866CD7" w:rsidRDefault="00866CD7" w:rsidP="00B86E9E">
            <w:pPr>
              <w:pStyle w:val="Prrafodelista"/>
              <w:numPr>
                <w:ilvl w:val="0"/>
                <w:numId w:val="17"/>
              </w:numPr>
              <w:spacing w:line="256" w:lineRule="auto"/>
              <w:jc w:val="both"/>
              <w:rPr>
                <w:rStyle w:val="normaltextrun"/>
                <w:color w:val="000000"/>
                <w:shd w:val="clear" w:color="auto" w:fill="FFFFFF"/>
              </w:rPr>
            </w:pPr>
            <w:r>
              <w:rPr>
                <w:rStyle w:val="normaltextrun"/>
                <w:color w:val="000000"/>
                <w:shd w:val="clear" w:color="auto" w:fill="FFFFFF"/>
              </w:rPr>
              <w:t>Capacitación y transferencia de conocimiento.</w:t>
            </w:r>
          </w:p>
          <w:p w14:paraId="3B782FAB" w14:textId="550579F8" w:rsidR="00866CD7" w:rsidRDefault="00866CD7" w:rsidP="00B86E9E">
            <w:pPr>
              <w:pStyle w:val="Prrafodelista"/>
              <w:numPr>
                <w:ilvl w:val="0"/>
                <w:numId w:val="17"/>
              </w:numPr>
              <w:spacing w:line="256" w:lineRule="auto"/>
              <w:jc w:val="both"/>
              <w:rPr>
                <w:rStyle w:val="normaltextrun"/>
                <w:color w:val="000000"/>
                <w:shd w:val="clear" w:color="auto" w:fill="FFFFFF"/>
              </w:rPr>
            </w:pPr>
            <w:r>
              <w:rPr>
                <w:rStyle w:val="normaltextrun"/>
                <w:color w:val="000000"/>
                <w:shd w:val="clear" w:color="auto" w:fill="FFFFFF"/>
              </w:rPr>
              <w:t xml:space="preserve">Soporte y mantenimiento de </w:t>
            </w:r>
            <w:r w:rsidR="00B63172">
              <w:rPr>
                <w:rStyle w:val="normaltextrun"/>
                <w:color w:val="000000"/>
                <w:shd w:val="clear" w:color="auto" w:fill="FFFFFF"/>
              </w:rPr>
              <w:t>fábrica</w:t>
            </w:r>
            <w:r>
              <w:rPr>
                <w:rStyle w:val="normaltextrun"/>
                <w:color w:val="000000"/>
                <w:shd w:val="clear" w:color="auto" w:fill="FFFFFF"/>
              </w:rPr>
              <w:t xml:space="preserve"> por </w:t>
            </w:r>
            <w:r w:rsidR="00B63172">
              <w:rPr>
                <w:rStyle w:val="normaltextrun"/>
                <w:color w:val="000000"/>
                <w:shd w:val="clear" w:color="auto" w:fill="FFFFFF"/>
              </w:rPr>
              <w:t>14 meses</w:t>
            </w:r>
            <w:r>
              <w:rPr>
                <w:rStyle w:val="normaltextrun"/>
                <w:color w:val="000000"/>
                <w:shd w:val="clear" w:color="auto" w:fill="FFFFFF"/>
              </w:rPr>
              <w:t>.</w:t>
            </w:r>
          </w:p>
          <w:p w14:paraId="24751A21" w14:textId="23335156" w:rsidR="00866CD7" w:rsidRDefault="00B63172" w:rsidP="00B86E9E">
            <w:pPr>
              <w:pStyle w:val="Prrafodelista"/>
              <w:numPr>
                <w:ilvl w:val="0"/>
                <w:numId w:val="17"/>
              </w:numPr>
              <w:spacing w:line="256" w:lineRule="auto"/>
              <w:jc w:val="both"/>
              <w:rPr>
                <w:rStyle w:val="normaltextrun"/>
                <w:color w:val="000000"/>
                <w:shd w:val="clear" w:color="auto" w:fill="FFFFFF"/>
              </w:rPr>
            </w:pPr>
            <w:r>
              <w:rPr>
                <w:rStyle w:val="normaltextrun"/>
                <w:color w:val="000000"/>
                <w:shd w:val="clear" w:color="auto" w:fill="FFFFFF"/>
              </w:rPr>
              <w:t>Configuración de v</w:t>
            </w:r>
            <w:r w:rsidR="00866CD7">
              <w:rPr>
                <w:rStyle w:val="normaltextrun"/>
                <w:color w:val="000000"/>
                <w:shd w:val="clear" w:color="auto" w:fill="FFFFFF"/>
              </w:rPr>
              <w:t>istas personalizadas</w:t>
            </w:r>
          </w:p>
          <w:p w14:paraId="7BFC5981" w14:textId="54289EB4" w:rsidR="00866CD7" w:rsidRDefault="00866CD7" w:rsidP="00B86E9E">
            <w:pPr>
              <w:pStyle w:val="Prrafodelista"/>
              <w:numPr>
                <w:ilvl w:val="0"/>
                <w:numId w:val="17"/>
              </w:numPr>
              <w:spacing w:line="256" w:lineRule="auto"/>
              <w:jc w:val="both"/>
              <w:rPr>
                <w:rStyle w:val="normaltextrun"/>
                <w:color w:val="000000"/>
                <w:shd w:val="clear" w:color="auto" w:fill="FFFFFF"/>
              </w:rPr>
            </w:pPr>
            <w:r>
              <w:rPr>
                <w:rStyle w:val="normaltextrun"/>
                <w:color w:val="000000"/>
                <w:shd w:val="clear" w:color="auto" w:fill="FFFFFF"/>
              </w:rPr>
              <w:t>Reportes personalizados</w:t>
            </w:r>
          </w:p>
          <w:p w14:paraId="4DFD6C9A" w14:textId="02C41DCC" w:rsidR="00E83840" w:rsidRDefault="00866CD7" w:rsidP="00B86E9E">
            <w:pPr>
              <w:pStyle w:val="Prrafodelista"/>
              <w:numPr>
                <w:ilvl w:val="0"/>
                <w:numId w:val="17"/>
              </w:numPr>
              <w:spacing w:line="256" w:lineRule="auto"/>
              <w:jc w:val="both"/>
              <w:rPr>
                <w:rStyle w:val="normaltextrun"/>
                <w:color w:val="000000"/>
                <w:shd w:val="clear" w:color="auto" w:fill="FFFFFF"/>
              </w:rPr>
            </w:pPr>
            <w:r>
              <w:rPr>
                <w:rStyle w:val="normaltextrun"/>
                <w:color w:val="000000"/>
                <w:shd w:val="clear" w:color="auto" w:fill="FFFFFF"/>
              </w:rPr>
              <w:t xml:space="preserve">Cargue </w:t>
            </w:r>
            <w:r w:rsidR="00B63172">
              <w:rPr>
                <w:rStyle w:val="normaltextrun"/>
                <w:color w:val="000000"/>
                <w:shd w:val="clear" w:color="auto" w:fill="FFFFFF"/>
              </w:rPr>
              <w:t xml:space="preserve"> de </w:t>
            </w:r>
            <w:r>
              <w:rPr>
                <w:rStyle w:val="normaltextrun"/>
                <w:color w:val="000000"/>
                <w:shd w:val="clear" w:color="auto" w:fill="FFFFFF"/>
              </w:rPr>
              <w:t>URL de forma masiva.</w:t>
            </w:r>
          </w:p>
          <w:p w14:paraId="7530F5F5" w14:textId="1CEECA8D" w:rsidR="001F2E20" w:rsidRPr="002F5BBC" w:rsidRDefault="00B86E9E" w:rsidP="00B63172">
            <w:pPr>
              <w:pStyle w:val="Prrafodelista"/>
              <w:numPr>
                <w:ilvl w:val="0"/>
                <w:numId w:val="17"/>
              </w:numPr>
              <w:spacing w:line="252" w:lineRule="auto"/>
              <w:jc w:val="both"/>
              <w:rPr>
                <w:rFonts w:ascii="Arial" w:eastAsia="Times New Roman" w:hAnsi="Arial" w:cs="Arial"/>
                <w:sz w:val="20"/>
                <w:szCs w:val="20"/>
                <w:lang w:eastAsia="es-CO"/>
              </w:rPr>
            </w:pPr>
            <w:r>
              <w:rPr>
                <w:rStyle w:val="normaltextrun"/>
                <w:color w:val="000000"/>
                <w:shd w:val="clear" w:color="auto" w:fill="FFFFFF"/>
              </w:rPr>
              <w:t>Configuración sistema de backup.</w:t>
            </w:r>
          </w:p>
        </w:tc>
      </w:tr>
      <w:tr w:rsidR="00A57A38" w:rsidRPr="00D7302F" w14:paraId="05C2E0D3" w14:textId="77777777" w:rsidTr="00607F80">
        <w:trPr>
          <w:trHeight w:val="67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4D1BE38E" w14:textId="4D170862"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Criterios de aceptación de los productos</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41F59787" w14:textId="334E2BC3" w:rsidR="00A57A38" w:rsidRPr="00D7302F" w:rsidRDefault="00DE1075" w:rsidP="00B63172">
            <w:pPr>
              <w:spacing w:after="0" w:line="240" w:lineRule="auto"/>
              <w:rPr>
                <w:rFonts w:ascii="Arial" w:eastAsia="Times New Roman" w:hAnsi="Arial" w:cs="Arial"/>
                <w:color w:val="808080"/>
                <w:sz w:val="20"/>
                <w:szCs w:val="20"/>
                <w:lang w:eastAsia="es-CO"/>
              </w:rPr>
            </w:pPr>
            <w:r w:rsidRPr="0048552A">
              <w:rPr>
                <w:rStyle w:val="normaltextrun"/>
                <w:rFonts w:ascii="Calibri" w:hAnsi="Calibri" w:cs="Calibri"/>
                <w:color w:val="000000"/>
              </w:rPr>
              <w:t xml:space="preserve">Que la </w:t>
            </w:r>
            <w:r w:rsidR="00B63172">
              <w:rPr>
                <w:rStyle w:val="normaltextrun"/>
                <w:rFonts w:ascii="Calibri" w:hAnsi="Calibri" w:cs="Calibri"/>
                <w:color w:val="000000"/>
              </w:rPr>
              <w:t>solución</w:t>
            </w:r>
            <w:r w:rsidRPr="0048552A">
              <w:rPr>
                <w:rStyle w:val="normaltextrun"/>
                <w:rFonts w:ascii="Calibri" w:hAnsi="Calibri" w:cs="Calibri"/>
                <w:color w:val="000000"/>
              </w:rPr>
              <w:t xml:space="preserve"> cumpla con los requerimientos técnicos solicitados por el CSIRT Gobierno.</w:t>
            </w:r>
          </w:p>
        </w:tc>
      </w:tr>
      <w:tr w:rsidR="00A57A38" w:rsidRPr="00D7302F" w14:paraId="76BF8241" w14:textId="77777777" w:rsidTr="00607F80">
        <w:trPr>
          <w:trHeight w:val="67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2037BCC5"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Otros requerimientos técnicos</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15519B4C" w14:textId="77777777" w:rsidR="00A57A38" w:rsidRPr="00D7302F" w:rsidRDefault="006E6673" w:rsidP="00A57A38">
            <w:pPr>
              <w:spacing w:after="0" w:line="240" w:lineRule="auto"/>
              <w:jc w:val="center"/>
              <w:rPr>
                <w:rFonts w:ascii="Arial" w:eastAsia="Times New Roman" w:hAnsi="Arial" w:cs="Arial"/>
                <w:color w:val="808080"/>
                <w:sz w:val="20"/>
                <w:szCs w:val="20"/>
                <w:lang w:eastAsia="es-CO"/>
              </w:rPr>
            </w:pPr>
            <w:r w:rsidRPr="00D7302F">
              <w:rPr>
                <w:rFonts w:ascii="Arial" w:eastAsia="Times New Roman" w:hAnsi="Arial" w:cs="Arial"/>
                <w:sz w:val="20"/>
                <w:szCs w:val="20"/>
                <w:lang w:eastAsia="es-CO"/>
              </w:rPr>
              <w:t>N/A</w:t>
            </w:r>
            <w:r w:rsidR="00A57A38" w:rsidRPr="00D7302F">
              <w:rPr>
                <w:rFonts w:ascii="Arial" w:eastAsia="Times New Roman" w:hAnsi="Arial" w:cs="Arial"/>
                <w:sz w:val="20"/>
                <w:szCs w:val="20"/>
                <w:lang w:eastAsia="es-CO"/>
              </w:rPr>
              <w:t> </w:t>
            </w:r>
          </w:p>
        </w:tc>
      </w:tr>
      <w:tr w:rsidR="00A57A38" w:rsidRPr="00D7302F" w14:paraId="0B32A756" w14:textId="77777777" w:rsidTr="00073796">
        <w:trPr>
          <w:trHeight w:val="6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2BF4FB0A"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Obligaciones técnicas específicas que deberá cumplir el contratista</w:t>
            </w:r>
          </w:p>
        </w:tc>
        <w:tc>
          <w:tcPr>
            <w:tcW w:w="3803" w:type="pct"/>
            <w:tcBorders>
              <w:top w:val="single" w:sz="4" w:space="0" w:color="auto"/>
              <w:left w:val="nil"/>
              <w:bottom w:val="single" w:sz="4" w:space="0" w:color="auto"/>
              <w:right w:val="double" w:sz="6" w:space="0" w:color="000000"/>
            </w:tcBorders>
            <w:shd w:val="clear" w:color="auto" w:fill="auto"/>
            <w:noWrap/>
            <w:vAlign w:val="center"/>
          </w:tcPr>
          <w:p w14:paraId="045C6D8B" w14:textId="5BE4911A" w:rsidR="00957CE9" w:rsidRPr="0048552A" w:rsidRDefault="00B63172" w:rsidP="00B86E9E">
            <w:pPr>
              <w:pStyle w:val="Prrafodelista"/>
              <w:numPr>
                <w:ilvl w:val="0"/>
                <w:numId w:val="15"/>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La solución debe permitir</w:t>
            </w:r>
            <w:r w:rsidR="005912A7" w:rsidRPr="0048552A">
              <w:rPr>
                <w:rStyle w:val="normaltextrun"/>
                <w:rFonts w:ascii="Calibri" w:hAnsi="Calibri" w:cs="Calibri"/>
                <w:color w:val="000000"/>
                <w:shd w:val="clear" w:color="auto" w:fill="FFFFFF"/>
              </w:rPr>
              <w:t xml:space="preserve"> monitoreo de disponibilidad para </w:t>
            </w:r>
            <w:r>
              <w:rPr>
                <w:rStyle w:val="normaltextrun"/>
                <w:rFonts w:ascii="Calibri" w:hAnsi="Calibri" w:cs="Calibri"/>
                <w:color w:val="000000"/>
                <w:shd w:val="clear" w:color="auto" w:fill="FFFFFF"/>
              </w:rPr>
              <w:t xml:space="preserve">mínimo </w:t>
            </w:r>
            <w:r w:rsidR="005912A7" w:rsidRPr="0048552A">
              <w:rPr>
                <w:rStyle w:val="normaltextrun"/>
                <w:rFonts w:ascii="Calibri" w:hAnsi="Calibri" w:cs="Calibri"/>
                <w:color w:val="000000"/>
                <w:shd w:val="clear" w:color="auto" w:fill="FFFFFF"/>
              </w:rPr>
              <w:t xml:space="preserve">12.000 </w:t>
            </w:r>
            <w:r>
              <w:rPr>
                <w:rStyle w:val="normaltextrun"/>
                <w:rFonts w:ascii="Calibri" w:hAnsi="Calibri" w:cs="Calibri"/>
                <w:color w:val="000000"/>
                <w:shd w:val="clear" w:color="auto" w:fill="FFFFFF"/>
              </w:rPr>
              <w:t>URL simultáneamente.</w:t>
            </w:r>
          </w:p>
          <w:p w14:paraId="7733AEB0" w14:textId="0E3C27F6" w:rsidR="005912A7" w:rsidRPr="0048552A" w:rsidRDefault="00B63172" w:rsidP="00B86E9E">
            <w:pPr>
              <w:pStyle w:val="Prrafodelista"/>
              <w:numPr>
                <w:ilvl w:val="0"/>
                <w:numId w:val="15"/>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La solución debe contar con el licenciamiento de software necesario para su funcionamiento.</w:t>
            </w:r>
          </w:p>
          <w:p w14:paraId="26F6BCDF" w14:textId="75D87181" w:rsidR="00B36FE5" w:rsidRDefault="00B36FE5" w:rsidP="00B86E9E">
            <w:pPr>
              <w:pStyle w:val="Prrafodelista"/>
              <w:numPr>
                <w:ilvl w:val="0"/>
                <w:numId w:val="15"/>
              </w:numPr>
              <w:jc w:val="both"/>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 xml:space="preserve">Soporte </w:t>
            </w:r>
            <w:r w:rsidR="00FD5E20" w:rsidRPr="0048552A">
              <w:rPr>
                <w:rStyle w:val="normaltextrun"/>
                <w:rFonts w:ascii="Calibri" w:hAnsi="Calibri" w:cs="Calibri"/>
                <w:color w:val="000000"/>
                <w:shd w:val="clear" w:color="auto" w:fill="FFFFFF"/>
              </w:rPr>
              <w:t>a</w:t>
            </w:r>
            <w:r w:rsidR="00866CD7" w:rsidRPr="0048552A">
              <w:rPr>
                <w:rStyle w:val="normaltextrun"/>
                <w:rFonts w:ascii="Calibri" w:hAnsi="Calibri" w:cs="Calibri"/>
                <w:color w:val="000000"/>
                <w:shd w:val="clear" w:color="auto" w:fill="FFFFFF"/>
              </w:rPr>
              <w:t xml:space="preserve"> la infraestructura </w:t>
            </w:r>
            <w:r w:rsidR="00FD5E20" w:rsidRPr="0048552A">
              <w:rPr>
                <w:rStyle w:val="normaltextrun"/>
                <w:rFonts w:ascii="Calibri" w:hAnsi="Calibri" w:cs="Calibri"/>
                <w:color w:val="000000"/>
                <w:shd w:val="clear" w:color="auto" w:fill="FFFFFF"/>
              </w:rPr>
              <w:t>hasta 31 de diciembre de 2020.</w:t>
            </w:r>
          </w:p>
          <w:p w14:paraId="04E568A2" w14:textId="319E1F22" w:rsidR="00B63172" w:rsidRPr="0048552A" w:rsidRDefault="00B63172" w:rsidP="00B86E9E">
            <w:pPr>
              <w:pStyle w:val="Prrafodelista"/>
              <w:numPr>
                <w:ilvl w:val="0"/>
                <w:numId w:val="15"/>
              </w:numPr>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La herramienta debe permitir el envió automático de correos electrónicos, para la notificación de eventos</w:t>
            </w:r>
          </w:p>
          <w:p w14:paraId="68E31B20" w14:textId="6B8EC17E" w:rsidR="00957CE9" w:rsidRPr="0048552A" w:rsidRDefault="005912A7"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Envío de correo configurables para los 12.000 admi</w:t>
            </w:r>
            <w:r w:rsidR="00B63172">
              <w:rPr>
                <w:rStyle w:val="normaltextrun"/>
                <w:rFonts w:ascii="Calibri" w:hAnsi="Calibri" w:cs="Calibri"/>
                <w:color w:val="000000"/>
                <w:shd w:val="clear" w:color="auto" w:fill="FFFFFF"/>
              </w:rPr>
              <w:t>nistradores de las URL teniendo en cuenta que la solución debe permitir configurar una dirección de correo para notificar la disponibilidad de cada URL.</w:t>
            </w:r>
          </w:p>
          <w:p w14:paraId="2036A9D6" w14:textId="6E7F60B9" w:rsidR="00B36FE5" w:rsidRPr="0048552A" w:rsidRDefault="00B36FE5"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 xml:space="preserve">Aplicación escalable </w:t>
            </w:r>
            <w:r w:rsidR="00B63172">
              <w:rPr>
                <w:rStyle w:val="normaltextrun"/>
                <w:rFonts w:ascii="Calibri" w:hAnsi="Calibri" w:cs="Calibri"/>
                <w:color w:val="000000"/>
                <w:shd w:val="clear" w:color="auto" w:fill="FFFFFF"/>
              </w:rPr>
              <w:t xml:space="preserve">al </w:t>
            </w:r>
            <w:r w:rsidR="00124B53">
              <w:rPr>
                <w:rStyle w:val="normaltextrun"/>
                <w:rFonts w:ascii="Calibri" w:hAnsi="Calibri" w:cs="Calibri"/>
                <w:color w:val="000000"/>
                <w:shd w:val="clear" w:color="auto" w:fill="FFFFFF"/>
              </w:rPr>
              <w:t>doble de URL</w:t>
            </w:r>
            <w:r w:rsidR="00B63172">
              <w:rPr>
                <w:rStyle w:val="normaltextrun"/>
                <w:rFonts w:ascii="Calibri" w:hAnsi="Calibri" w:cs="Calibri"/>
                <w:color w:val="000000"/>
                <w:shd w:val="clear" w:color="auto" w:fill="FFFFFF"/>
              </w:rPr>
              <w:t xml:space="preserve"> </w:t>
            </w:r>
          </w:p>
          <w:p w14:paraId="6B187DCF" w14:textId="08DAB71D" w:rsidR="00B36FE5" w:rsidRPr="0048552A" w:rsidRDefault="00B36FE5"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lastRenderedPageBreak/>
              <w:t>Configuración de monitoreo por grupos de dominio y subdominios.</w:t>
            </w:r>
          </w:p>
          <w:p w14:paraId="49AF7AF3" w14:textId="5155EC28" w:rsidR="00B36FE5" w:rsidRPr="0048552A" w:rsidRDefault="00B36FE5"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Administración y visualización dashboard vía web</w:t>
            </w:r>
          </w:p>
          <w:p w14:paraId="15F3AC53" w14:textId="27AE7D03" w:rsidR="005912A7" w:rsidRPr="0048552A" w:rsidRDefault="005912A7"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Configuración de dashboard</w:t>
            </w:r>
            <w:r w:rsidR="00124B53">
              <w:rPr>
                <w:rStyle w:val="normaltextrun"/>
                <w:rFonts w:ascii="Calibri" w:hAnsi="Calibri" w:cs="Calibri"/>
                <w:color w:val="000000"/>
                <w:shd w:val="clear" w:color="auto" w:fill="FFFFFF"/>
              </w:rPr>
              <w:t>.</w:t>
            </w:r>
          </w:p>
          <w:p w14:paraId="0FAEF276" w14:textId="77777777" w:rsidR="005912A7" w:rsidRDefault="005912A7"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Incluir el licenciamiento del motor de base de datos.</w:t>
            </w:r>
          </w:p>
          <w:p w14:paraId="6BFEB3D4" w14:textId="7137BF1A" w:rsidR="00124B53" w:rsidRPr="0048552A" w:rsidRDefault="00124B53" w:rsidP="00B86E9E">
            <w:pPr>
              <w:pStyle w:val="Prrafodelista"/>
              <w:numPr>
                <w:ilvl w:val="0"/>
                <w:numId w:val="15"/>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En caso de que la solución sea un servidor físico de cumplir lo siguiente:</w:t>
            </w:r>
          </w:p>
          <w:p w14:paraId="45834B6A" w14:textId="6B7C1490" w:rsidR="00B36FE5" w:rsidRPr="0048552A" w:rsidRDefault="00124B53" w:rsidP="00124B53">
            <w:pPr>
              <w:pStyle w:val="Prrafodelista"/>
              <w:numPr>
                <w:ilvl w:val="1"/>
                <w:numId w:val="15"/>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Hardware de</w:t>
            </w:r>
            <w:r w:rsidR="00B36FE5" w:rsidRPr="0048552A">
              <w:rPr>
                <w:rStyle w:val="normaltextrun"/>
                <w:rFonts w:ascii="Calibri" w:hAnsi="Calibri" w:cs="Calibri"/>
                <w:color w:val="000000"/>
                <w:shd w:val="clear" w:color="auto" w:fill="FFFFFF"/>
              </w:rPr>
              <w:t xml:space="preserve"> máximo 2U</w:t>
            </w:r>
            <w:r>
              <w:rPr>
                <w:rStyle w:val="normaltextrun"/>
                <w:rFonts w:ascii="Calibri" w:hAnsi="Calibri" w:cs="Calibri"/>
                <w:color w:val="000000"/>
                <w:shd w:val="clear" w:color="auto" w:fill="FFFFFF"/>
              </w:rPr>
              <w:t xml:space="preserve"> de Rack</w:t>
            </w:r>
          </w:p>
          <w:p w14:paraId="71285723" w14:textId="5CA75647" w:rsidR="005912A7" w:rsidRPr="0048552A" w:rsidRDefault="00B36FE5" w:rsidP="00124B53">
            <w:pPr>
              <w:pStyle w:val="Prrafodelista"/>
              <w:numPr>
                <w:ilvl w:val="1"/>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 xml:space="preserve">Hardware </w:t>
            </w:r>
            <w:r w:rsidR="002236D2">
              <w:rPr>
                <w:rStyle w:val="normaltextrun"/>
                <w:rFonts w:ascii="Calibri" w:hAnsi="Calibri" w:cs="Calibri"/>
                <w:color w:val="000000"/>
                <w:shd w:val="clear" w:color="auto" w:fill="FFFFFF"/>
              </w:rPr>
              <w:t>c</w:t>
            </w:r>
            <w:r w:rsidR="002236D2">
              <w:rPr>
                <w:rStyle w:val="normaltextrun"/>
                <w:rFonts w:ascii="Calibri" w:hAnsi="Calibri"/>
                <w:shd w:val="clear" w:color="auto" w:fill="FFFFFF"/>
              </w:rPr>
              <w:t xml:space="preserve">on </w:t>
            </w:r>
            <w:r w:rsidRPr="0048552A">
              <w:rPr>
                <w:rStyle w:val="normaltextrun"/>
                <w:rFonts w:ascii="Calibri" w:hAnsi="Calibri" w:cs="Calibri"/>
                <w:color w:val="000000"/>
                <w:shd w:val="clear" w:color="auto" w:fill="FFFFFF"/>
              </w:rPr>
              <w:t>fuentes redundantes</w:t>
            </w:r>
          </w:p>
          <w:p w14:paraId="0F5445C9" w14:textId="2354B7E1" w:rsidR="00B36FE5" w:rsidRPr="0048552A" w:rsidRDefault="00B36FE5" w:rsidP="00124B53">
            <w:pPr>
              <w:pStyle w:val="Prrafodelista"/>
              <w:numPr>
                <w:ilvl w:val="1"/>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Garantía de Hardware extendida</w:t>
            </w:r>
            <w:r w:rsidR="00866CD7" w:rsidRPr="0048552A">
              <w:rPr>
                <w:rStyle w:val="normaltextrun"/>
                <w:rFonts w:ascii="Calibri" w:hAnsi="Calibri" w:cs="Calibri"/>
                <w:color w:val="000000"/>
                <w:shd w:val="clear" w:color="auto" w:fill="FFFFFF"/>
              </w:rPr>
              <w:t xml:space="preserve"> durante la vigencia del contrato. </w:t>
            </w:r>
          </w:p>
          <w:p w14:paraId="73497447" w14:textId="78E979A5" w:rsidR="005912A7" w:rsidRPr="0048552A" w:rsidRDefault="005912A7"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Reportes ejecutivos configurables y personalizados</w:t>
            </w:r>
          </w:p>
          <w:p w14:paraId="1F36828E" w14:textId="467625E7" w:rsidR="005912A7" w:rsidRDefault="005912A7"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Subida masiva de datos – migración de la data</w:t>
            </w:r>
          </w:p>
          <w:p w14:paraId="392264EC" w14:textId="77777777" w:rsidR="00B86E9E" w:rsidRDefault="00B86E9E" w:rsidP="00B86E9E">
            <w:pPr>
              <w:pStyle w:val="Prrafodelista"/>
              <w:numPr>
                <w:ilvl w:val="0"/>
                <w:numId w:val="15"/>
              </w:numPr>
              <w:spacing w:line="252" w:lineRule="auto"/>
              <w:jc w:val="both"/>
              <w:rPr>
                <w:rStyle w:val="normaltextrun"/>
                <w:color w:val="000000"/>
                <w:shd w:val="clear" w:color="auto" w:fill="FFFFFF"/>
              </w:rPr>
            </w:pPr>
            <w:r>
              <w:rPr>
                <w:rStyle w:val="normaltextrun"/>
                <w:color w:val="000000"/>
                <w:shd w:val="clear" w:color="auto" w:fill="FFFFFF"/>
              </w:rPr>
              <w:t>Configuración sistema de backup.</w:t>
            </w:r>
          </w:p>
          <w:p w14:paraId="093B44E0" w14:textId="77777777" w:rsidR="005912A7" w:rsidRPr="0048552A" w:rsidRDefault="005912A7"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Transferencia de conocimiento en la implementación</w:t>
            </w:r>
          </w:p>
          <w:p w14:paraId="41CDFD32" w14:textId="30FF6C7B" w:rsidR="005912A7" w:rsidRPr="0048552A" w:rsidRDefault="005912A7"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Capacitación para Administradores</w:t>
            </w:r>
          </w:p>
          <w:p w14:paraId="16774D5E" w14:textId="1AA5CC0B" w:rsidR="005912A7" w:rsidRDefault="005912A7"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Establecimiento de ANS de servicios para el soporte</w:t>
            </w:r>
          </w:p>
          <w:p w14:paraId="65918B33" w14:textId="56D8A6C2" w:rsidR="002236D2" w:rsidRPr="0048552A" w:rsidRDefault="002236D2" w:rsidP="00B86E9E">
            <w:pPr>
              <w:pStyle w:val="Prrafodelista"/>
              <w:numPr>
                <w:ilvl w:val="0"/>
                <w:numId w:val="15"/>
              </w:numPr>
              <w:rPr>
                <w:rStyle w:val="normaltextrun"/>
                <w:rFonts w:ascii="Calibri" w:hAnsi="Calibri" w:cs="Calibri"/>
                <w:color w:val="000000"/>
                <w:shd w:val="clear" w:color="auto" w:fill="FFFFFF"/>
              </w:rPr>
            </w:pPr>
            <w:r>
              <w:rPr>
                <w:rStyle w:val="normaltextrun"/>
                <w:rFonts w:ascii="Calibri" w:hAnsi="Calibri"/>
                <w:shd w:val="clear" w:color="auto" w:fill="FFFFFF"/>
              </w:rPr>
              <w:t>Proveer todos los elementos para la instalación de la infraestructura.</w:t>
            </w:r>
          </w:p>
          <w:p w14:paraId="79DFDFB1" w14:textId="3093951F" w:rsidR="005912A7" w:rsidRDefault="005912A7" w:rsidP="00B86E9E">
            <w:pPr>
              <w:pStyle w:val="Prrafodelista"/>
              <w:numPr>
                <w:ilvl w:val="0"/>
                <w:numId w:val="15"/>
              </w:numPr>
              <w:rPr>
                <w:rStyle w:val="normaltextrun"/>
                <w:rFonts w:ascii="Calibri" w:hAnsi="Calibri" w:cs="Calibri"/>
                <w:color w:val="000000"/>
                <w:shd w:val="clear" w:color="auto" w:fill="FFFFFF"/>
              </w:rPr>
            </w:pPr>
            <w:r w:rsidRPr="0048552A">
              <w:rPr>
                <w:rStyle w:val="normaltextrun"/>
                <w:rFonts w:ascii="Calibri" w:hAnsi="Calibri" w:cs="Calibri"/>
                <w:color w:val="000000"/>
                <w:shd w:val="clear" w:color="auto" w:fill="FFFFFF"/>
              </w:rPr>
              <w:t>Entrega de manuales de usuario</w:t>
            </w:r>
            <w:r w:rsidR="002236D2">
              <w:rPr>
                <w:rStyle w:val="normaltextrun"/>
                <w:rFonts w:ascii="Calibri" w:hAnsi="Calibri" w:cs="Calibri"/>
                <w:color w:val="000000"/>
                <w:shd w:val="clear" w:color="auto" w:fill="FFFFFF"/>
              </w:rPr>
              <w:t>.</w:t>
            </w:r>
          </w:p>
          <w:p w14:paraId="57E78E74" w14:textId="77777777" w:rsidR="002236D2" w:rsidRPr="002236D2" w:rsidRDefault="002236D2" w:rsidP="00B86E9E">
            <w:pPr>
              <w:pStyle w:val="Prrafodelista"/>
              <w:numPr>
                <w:ilvl w:val="0"/>
                <w:numId w:val="15"/>
              </w:numPr>
              <w:rPr>
                <w:rStyle w:val="normaltextrun"/>
                <w:rFonts w:ascii="Calibri" w:hAnsi="Calibri"/>
                <w:shd w:val="clear" w:color="auto" w:fill="FFFFFF"/>
              </w:rPr>
            </w:pPr>
            <w:r w:rsidRPr="002236D2">
              <w:rPr>
                <w:rStyle w:val="normaltextrun"/>
                <w:rFonts w:ascii="Calibri" w:hAnsi="Calibri"/>
                <w:shd w:val="clear" w:color="auto" w:fill="FFFFFF"/>
              </w:rPr>
              <w:t>Soporte técnico deber ser ingeniero 5x8 telefónico con un tiempo de respuesta de máximo 30 minutos, en caso de no poder resolver el problema presentado, se debe hacer la atención en la Oficina de Telemática de la Policía Nacional Cra 59 No 26-21 Bogotá.</w:t>
            </w:r>
          </w:p>
          <w:p w14:paraId="6950D892" w14:textId="41FC240A" w:rsidR="002236D2" w:rsidRPr="002236D2" w:rsidRDefault="002236D2" w:rsidP="00B86E9E">
            <w:pPr>
              <w:pStyle w:val="Prrafodelista"/>
              <w:numPr>
                <w:ilvl w:val="0"/>
                <w:numId w:val="15"/>
              </w:numPr>
              <w:rPr>
                <w:rStyle w:val="normaltextrun"/>
                <w:rFonts w:ascii="Calibri" w:hAnsi="Calibri"/>
                <w:shd w:val="clear" w:color="auto" w:fill="FFFFFF"/>
              </w:rPr>
            </w:pPr>
            <w:r w:rsidRPr="002236D2">
              <w:rPr>
                <w:rStyle w:val="normaltextrun"/>
                <w:rFonts w:ascii="Calibri" w:hAnsi="Calibri"/>
                <w:shd w:val="clear" w:color="auto" w:fill="FFFFFF"/>
              </w:rPr>
              <w:t xml:space="preserve">La garantía debe ser para la totalidad de </w:t>
            </w:r>
            <w:r>
              <w:rPr>
                <w:rStyle w:val="normaltextrun"/>
                <w:rFonts w:ascii="Calibri" w:hAnsi="Calibri"/>
                <w:shd w:val="clear" w:color="auto" w:fill="FFFFFF"/>
              </w:rPr>
              <w:t>la infraestructura de la solución</w:t>
            </w:r>
            <w:r w:rsidRPr="002236D2">
              <w:rPr>
                <w:rStyle w:val="normaltextrun"/>
                <w:rFonts w:ascii="Calibri" w:hAnsi="Calibri"/>
                <w:shd w:val="clear" w:color="auto" w:fill="FFFFFF"/>
              </w:rPr>
              <w:t>.</w:t>
            </w:r>
          </w:p>
          <w:p w14:paraId="33E8F603" w14:textId="70F1461E" w:rsidR="006F10E7" w:rsidRPr="00124B53" w:rsidRDefault="002236D2" w:rsidP="002236D2">
            <w:pPr>
              <w:pStyle w:val="Prrafodelista"/>
              <w:numPr>
                <w:ilvl w:val="0"/>
                <w:numId w:val="15"/>
              </w:numPr>
              <w:rPr>
                <w:rFonts w:ascii="Calibri" w:hAnsi="Calibri"/>
                <w:shd w:val="clear" w:color="auto" w:fill="FFFFFF"/>
              </w:rPr>
            </w:pPr>
            <w:r w:rsidRPr="002236D2">
              <w:rPr>
                <w:rStyle w:val="normaltextrun"/>
                <w:rFonts w:ascii="Calibri" w:hAnsi="Calibri"/>
                <w:shd w:val="clear" w:color="auto" w:fill="FFFFFF"/>
              </w:rPr>
              <w:t>Realizar como minino un (1) mantenimiento preventivo a la solución contratada.</w:t>
            </w:r>
          </w:p>
        </w:tc>
      </w:tr>
      <w:tr w:rsidR="00A57A38" w:rsidRPr="00D7302F" w14:paraId="79626FD4" w14:textId="77777777" w:rsidTr="00607F80">
        <w:trPr>
          <w:trHeight w:val="9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314A4457" w14:textId="72C2A394"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lastRenderedPageBreak/>
              <w:t>Obligaciones técnicas específicas que deberá cumplir ACAC para la ejecución del contrato</w:t>
            </w:r>
          </w:p>
        </w:tc>
        <w:tc>
          <w:tcPr>
            <w:tcW w:w="3803" w:type="pct"/>
            <w:tcBorders>
              <w:top w:val="single" w:sz="4" w:space="0" w:color="auto"/>
              <w:left w:val="nil"/>
              <w:bottom w:val="single" w:sz="4" w:space="0" w:color="auto"/>
              <w:right w:val="double" w:sz="6" w:space="0" w:color="000000"/>
            </w:tcBorders>
            <w:shd w:val="clear" w:color="auto" w:fill="auto"/>
            <w:noWrap/>
            <w:vAlign w:val="center"/>
            <w:hideMark/>
          </w:tcPr>
          <w:p w14:paraId="6E417D5A" w14:textId="77777777" w:rsidR="00FD5E20" w:rsidRPr="0048552A" w:rsidRDefault="00FD5E20" w:rsidP="0048552A">
            <w:pPr>
              <w:pStyle w:val="Prrafodelista"/>
              <w:numPr>
                <w:ilvl w:val="0"/>
                <w:numId w:val="19"/>
              </w:numPr>
              <w:spacing w:after="0" w:line="240" w:lineRule="auto"/>
              <w:rPr>
                <w:rStyle w:val="normaltextrun"/>
                <w:rFonts w:ascii="Calibri" w:hAnsi="Calibri" w:cs="Calibri"/>
              </w:rPr>
            </w:pPr>
            <w:r w:rsidRPr="0048552A">
              <w:rPr>
                <w:rStyle w:val="normaltextrun"/>
                <w:rFonts w:ascii="Calibri" w:hAnsi="Calibri" w:cs="Calibri"/>
              </w:rPr>
              <w:t xml:space="preserve">Pagar el valor de la contratación, en la forma, fechas y bajo las condiciones señaladas más adelante. </w:t>
            </w:r>
          </w:p>
          <w:p w14:paraId="6172D94F" w14:textId="77777777" w:rsidR="00FD5E20" w:rsidRPr="0048552A" w:rsidRDefault="00FD5E20" w:rsidP="0048552A">
            <w:pPr>
              <w:pStyle w:val="Prrafodelista"/>
              <w:numPr>
                <w:ilvl w:val="0"/>
                <w:numId w:val="19"/>
              </w:numPr>
              <w:spacing w:after="0" w:line="240" w:lineRule="auto"/>
              <w:rPr>
                <w:rStyle w:val="normaltextrun"/>
                <w:rFonts w:ascii="Calibri" w:hAnsi="Calibri" w:cs="Calibri"/>
              </w:rPr>
            </w:pPr>
            <w:r w:rsidRPr="0048552A">
              <w:rPr>
                <w:rStyle w:val="normaltextrun"/>
                <w:rFonts w:ascii="Calibri" w:hAnsi="Calibri" w:cs="Calibri"/>
              </w:rPr>
              <w:t>Verificar la afiliación y pago de aportes que EL CONTRATISTA debe efectuar al Sistema de Seguridad Social y ARL como independiente.</w:t>
            </w:r>
          </w:p>
          <w:p w14:paraId="0E079008" w14:textId="77777777" w:rsidR="00FD5E20" w:rsidRPr="0048552A" w:rsidRDefault="00FD5E20" w:rsidP="0048552A">
            <w:pPr>
              <w:pStyle w:val="Prrafodelista"/>
              <w:numPr>
                <w:ilvl w:val="0"/>
                <w:numId w:val="19"/>
              </w:numPr>
              <w:spacing w:after="0" w:line="240" w:lineRule="auto"/>
              <w:rPr>
                <w:rStyle w:val="normaltextrun"/>
                <w:rFonts w:ascii="Calibri" w:hAnsi="Calibri" w:cs="Calibri"/>
              </w:rPr>
            </w:pPr>
            <w:r w:rsidRPr="0048552A">
              <w:rPr>
                <w:rStyle w:val="normaltextrun"/>
                <w:rFonts w:ascii="Calibri" w:hAnsi="Calibri" w:cs="Calibri"/>
              </w:rPr>
              <w:t>Vigilar la debida y oportuna ejecución del contrato y el cumplimiento de todas las obligaciones contractuales a cargo de EL CONTRATISTA.</w:t>
            </w:r>
            <w:r w:rsidRPr="0048552A">
              <w:rPr>
                <w:rStyle w:val="normaltextrun"/>
              </w:rPr>
              <w:t> </w:t>
            </w:r>
          </w:p>
          <w:p w14:paraId="0E0F3B4B" w14:textId="400D4E2E" w:rsidR="00A57A38" w:rsidRPr="00EA4AEA" w:rsidRDefault="00A57A38" w:rsidP="00FD5E20">
            <w:pPr>
              <w:pStyle w:val="Prrafodelista"/>
              <w:spacing w:after="0" w:line="240" w:lineRule="auto"/>
              <w:ind w:left="357"/>
              <w:rPr>
                <w:rFonts w:ascii="Arial" w:eastAsia="Times New Roman" w:hAnsi="Arial" w:cs="Arial"/>
                <w:color w:val="000000"/>
                <w:sz w:val="20"/>
                <w:szCs w:val="20"/>
                <w:lang w:eastAsia="es-CO"/>
              </w:rPr>
            </w:pPr>
          </w:p>
        </w:tc>
      </w:tr>
      <w:tr w:rsidR="00A57A38" w:rsidRPr="00D7302F" w14:paraId="6676DDAD" w14:textId="77777777" w:rsidTr="00607F80">
        <w:trPr>
          <w:trHeight w:val="3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50691213"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Duración del Contrato:</w:t>
            </w:r>
          </w:p>
        </w:tc>
        <w:tc>
          <w:tcPr>
            <w:tcW w:w="3803" w:type="pct"/>
            <w:tcBorders>
              <w:top w:val="single" w:sz="4" w:space="0" w:color="auto"/>
              <w:left w:val="nil"/>
              <w:bottom w:val="single" w:sz="4" w:space="0" w:color="auto"/>
              <w:right w:val="double" w:sz="6" w:space="0" w:color="000000"/>
            </w:tcBorders>
            <w:shd w:val="clear" w:color="auto" w:fill="auto"/>
            <w:noWrap/>
            <w:vAlign w:val="center"/>
            <w:hideMark/>
          </w:tcPr>
          <w:p w14:paraId="69E738B1" w14:textId="461C84AA" w:rsidR="00A57A38" w:rsidRPr="00D7302F" w:rsidRDefault="00FD5E20" w:rsidP="00A57A3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14</w:t>
            </w:r>
            <w:r w:rsidR="00D7302F" w:rsidRPr="00D7302F">
              <w:rPr>
                <w:rFonts w:ascii="Arial" w:eastAsia="Times New Roman" w:hAnsi="Arial" w:cs="Arial"/>
                <w:color w:val="000000"/>
                <w:sz w:val="20"/>
                <w:szCs w:val="20"/>
                <w:lang w:eastAsia="es-CO"/>
              </w:rPr>
              <w:t xml:space="preserve"> meses</w:t>
            </w:r>
            <w:r w:rsidR="006E6673" w:rsidRPr="00D7302F">
              <w:rPr>
                <w:rFonts w:ascii="Arial" w:eastAsia="Times New Roman" w:hAnsi="Arial" w:cs="Arial"/>
                <w:color w:val="000000"/>
                <w:sz w:val="20"/>
                <w:szCs w:val="20"/>
                <w:lang w:eastAsia="es-CO"/>
              </w:rPr>
              <w:t> </w:t>
            </w:r>
            <w:r w:rsidR="00A57A38" w:rsidRPr="00D7302F">
              <w:rPr>
                <w:rFonts w:ascii="Arial" w:eastAsia="Times New Roman" w:hAnsi="Arial" w:cs="Arial"/>
                <w:color w:val="000000"/>
                <w:sz w:val="20"/>
                <w:szCs w:val="20"/>
                <w:lang w:eastAsia="es-CO"/>
              </w:rPr>
              <w:t> </w:t>
            </w:r>
          </w:p>
        </w:tc>
      </w:tr>
      <w:tr w:rsidR="00A57A38" w:rsidRPr="00D7302F" w14:paraId="005FEA0B" w14:textId="77777777" w:rsidTr="00607F80">
        <w:trPr>
          <w:trHeight w:val="3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79232DF4"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Valor estimado del contrato:</w:t>
            </w:r>
          </w:p>
        </w:tc>
        <w:tc>
          <w:tcPr>
            <w:tcW w:w="3803" w:type="pct"/>
            <w:tcBorders>
              <w:top w:val="single" w:sz="4" w:space="0" w:color="auto"/>
              <w:left w:val="nil"/>
              <w:bottom w:val="single" w:sz="4" w:space="0" w:color="auto"/>
              <w:right w:val="double" w:sz="6" w:space="0" w:color="000000"/>
            </w:tcBorders>
            <w:shd w:val="clear" w:color="auto" w:fill="auto"/>
            <w:noWrap/>
            <w:vAlign w:val="center"/>
            <w:hideMark/>
          </w:tcPr>
          <w:p w14:paraId="55A6F05C" w14:textId="52B7C258" w:rsidR="00A57A38" w:rsidRPr="00D7302F" w:rsidRDefault="003162C8" w:rsidP="00D7302F">
            <w:pPr>
              <w:spacing w:after="0" w:line="240" w:lineRule="auto"/>
              <w:jc w:val="center"/>
              <w:rPr>
                <w:rFonts w:ascii="Arial" w:eastAsia="Times New Roman" w:hAnsi="Arial" w:cs="Arial"/>
                <w:color w:val="000000"/>
                <w:sz w:val="20"/>
                <w:szCs w:val="20"/>
                <w:lang w:eastAsia="es-CO"/>
              </w:rPr>
            </w:pPr>
            <w:r>
              <w:rPr>
                <w:rFonts w:ascii="Arial Narrow" w:hAnsi="Arial Narrow"/>
              </w:rPr>
              <w:t>$ 761,600,000 IVA INCLUIDO</w:t>
            </w:r>
            <w:bookmarkStart w:id="0" w:name="_GoBack"/>
            <w:bookmarkEnd w:id="0"/>
          </w:p>
        </w:tc>
      </w:tr>
      <w:tr w:rsidR="00A57A38" w:rsidRPr="00D7302F" w14:paraId="63F10002" w14:textId="77777777" w:rsidTr="00607F80">
        <w:trPr>
          <w:trHeight w:val="3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7AA25BB2" w14:textId="6D4E3EB0"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Documentos Anexos</w:t>
            </w:r>
            <w:r w:rsidR="003162C8">
              <w:rPr>
                <w:rFonts w:ascii="Arial" w:eastAsia="Times New Roman" w:hAnsi="Arial" w:cs="Arial"/>
                <w:b/>
                <w:bCs/>
                <w:color w:val="000000"/>
                <w:sz w:val="20"/>
                <w:szCs w:val="20"/>
                <w:lang w:eastAsia="es-CO"/>
              </w:rPr>
              <w:t xml:space="preserve"> adicionales requeridos</w:t>
            </w:r>
            <w:r w:rsidRPr="00D7302F">
              <w:rPr>
                <w:rFonts w:ascii="Arial" w:eastAsia="Times New Roman" w:hAnsi="Arial" w:cs="Arial"/>
                <w:b/>
                <w:bCs/>
                <w:color w:val="000000"/>
                <w:sz w:val="20"/>
                <w:szCs w:val="20"/>
                <w:lang w:eastAsia="es-CO"/>
              </w:rPr>
              <w:t>:</w:t>
            </w:r>
          </w:p>
        </w:tc>
        <w:tc>
          <w:tcPr>
            <w:tcW w:w="3803" w:type="pct"/>
            <w:tcBorders>
              <w:top w:val="single" w:sz="4" w:space="0" w:color="auto"/>
              <w:left w:val="nil"/>
              <w:bottom w:val="single" w:sz="4" w:space="0" w:color="auto"/>
              <w:right w:val="double" w:sz="6" w:space="0" w:color="000000"/>
            </w:tcBorders>
            <w:shd w:val="clear" w:color="auto" w:fill="auto"/>
            <w:vAlign w:val="bottom"/>
            <w:hideMark/>
          </w:tcPr>
          <w:p w14:paraId="6C7080E6" w14:textId="15BEC831" w:rsidR="00E81EDE" w:rsidRPr="0048552A" w:rsidRDefault="007A0357" w:rsidP="0048552A">
            <w:pPr>
              <w:pStyle w:val="Prrafodelista"/>
              <w:numPr>
                <w:ilvl w:val="0"/>
                <w:numId w:val="20"/>
              </w:numPr>
              <w:spacing w:after="0" w:line="240" w:lineRule="auto"/>
              <w:jc w:val="both"/>
              <w:rPr>
                <w:rStyle w:val="normaltextrun"/>
                <w:rFonts w:ascii="Calibri" w:hAnsi="Calibri" w:cs="Calibri"/>
              </w:rPr>
            </w:pPr>
            <w:r w:rsidRPr="0048552A">
              <w:rPr>
                <w:rStyle w:val="normaltextrun"/>
                <w:rFonts w:ascii="Calibri" w:hAnsi="Calibri" w:cs="Calibri"/>
              </w:rPr>
              <w:t>Acuerdos de Niveles de Servicios</w:t>
            </w:r>
          </w:p>
          <w:p w14:paraId="5312CFE6" w14:textId="111B9B9F" w:rsidR="007A0357" w:rsidRPr="0048552A" w:rsidRDefault="007A0357" w:rsidP="0048552A">
            <w:pPr>
              <w:pStyle w:val="Prrafodelista"/>
              <w:numPr>
                <w:ilvl w:val="0"/>
                <w:numId w:val="20"/>
              </w:numPr>
              <w:spacing w:after="0" w:line="240" w:lineRule="auto"/>
              <w:jc w:val="both"/>
              <w:rPr>
                <w:rStyle w:val="normaltextrun"/>
                <w:rFonts w:ascii="Calibri" w:hAnsi="Calibri" w:cs="Calibri"/>
              </w:rPr>
            </w:pPr>
            <w:r w:rsidRPr="0048552A">
              <w:rPr>
                <w:rStyle w:val="normaltextrun"/>
                <w:rFonts w:ascii="Calibri" w:hAnsi="Calibri" w:cs="Calibri"/>
              </w:rPr>
              <w:t>Protocolo de escalabilidad soporte técnico a problemas con el servicio.</w:t>
            </w:r>
          </w:p>
          <w:p w14:paraId="69EE7339" w14:textId="7BC74E76" w:rsidR="007A0357" w:rsidRPr="0048552A" w:rsidRDefault="007A0357" w:rsidP="0048552A">
            <w:pPr>
              <w:pStyle w:val="Prrafodelista"/>
              <w:numPr>
                <w:ilvl w:val="0"/>
                <w:numId w:val="20"/>
              </w:numPr>
              <w:spacing w:after="0" w:line="240" w:lineRule="auto"/>
              <w:jc w:val="both"/>
              <w:rPr>
                <w:rStyle w:val="normaltextrun"/>
                <w:rFonts w:ascii="Calibri" w:hAnsi="Calibri" w:cs="Calibri"/>
              </w:rPr>
            </w:pPr>
            <w:r w:rsidRPr="0048552A">
              <w:rPr>
                <w:rStyle w:val="normaltextrun"/>
                <w:rFonts w:ascii="Calibri" w:hAnsi="Calibri" w:cs="Calibri"/>
              </w:rPr>
              <w:t>Acuerdos de confidencialidad</w:t>
            </w:r>
          </w:p>
          <w:p w14:paraId="3E5648F6" w14:textId="77777777" w:rsidR="00A57A38" w:rsidRPr="0048552A" w:rsidRDefault="00E81EDE" w:rsidP="0048552A">
            <w:pPr>
              <w:pStyle w:val="Prrafodelista"/>
              <w:numPr>
                <w:ilvl w:val="0"/>
                <w:numId w:val="20"/>
              </w:numPr>
              <w:spacing w:after="0" w:line="240" w:lineRule="auto"/>
              <w:jc w:val="both"/>
              <w:rPr>
                <w:rStyle w:val="normaltextrun"/>
                <w:rFonts w:ascii="Calibri" w:hAnsi="Calibri"/>
              </w:rPr>
            </w:pPr>
            <w:r w:rsidRPr="0048552A">
              <w:rPr>
                <w:rStyle w:val="normaltextrun"/>
                <w:rFonts w:ascii="Calibri" w:hAnsi="Calibri" w:cs="Calibri"/>
              </w:rPr>
              <w:t>Documentos requeridos por ACAC para realizar la contratación.</w:t>
            </w:r>
          </w:p>
          <w:p w14:paraId="5FDE2236" w14:textId="77777777" w:rsidR="00FD5E20" w:rsidRPr="0048552A" w:rsidRDefault="00FD5E20" w:rsidP="0048552A">
            <w:pPr>
              <w:pStyle w:val="Prrafodelista"/>
              <w:numPr>
                <w:ilvl w:val="0"/>
                <w:numId w:val="20"/>
              </w:numPr>
              <w:spacing w:after="0" w:line="240" w:lineRule="auto"/>
              <w:jc w:val="both"/>
              <w:rPr>
                <w:rStyle w:val="normaltextrun"/>
                <w:rFonts w:ascii="Calibri" w:hAnsi="Calibri"/>
              </w:rPr>
            </w:pPr>
            <w:r w:rsidRPr="0048552A">
              <w:rPr>
                <w:rStyle w:val="normaltextrun"/>
                <w:rFonts w:ascii="Calibri" w:hAnsi="Calibri" w:cs="Calibri"/>
              </w:rPr>
              <w:t>Cronograma de plan de implementación.</w:t>
            </w:r>
          </w:p>
          <w:p w14:paraId="41A4A23E" w14:textId="52BAB740" w:rsidR="00FD5E20" w:rsidRPr="0048552A" w:rsidRDefault="00FD5E20" w:rsidP="0048552A">
            <w:pPr>
              <w:pStyle w:val="Prrafodelista"/>
              <w:numPr>
                <w:ilvl w:val="0"/>
                <w:numId w:val="20"/>
              </w:numPr>
              <w:spacing w:after="0" w:line="240" w:lineRule="auto"/>
              <w:jc w:val="both"/>
              <w:rPr>
                <w:rFonts w:ascii="Arial Narrow" w:eastAsia="Times New Roman" w:hAnsi="Arial Narrow" w:cs="Calibri"/>
                <w:color w:val="000000"/>
                <w:sz w:val="20"/>
                <w:szCs w:val="20"/>
                <w:lang w:eastAsia="es-CO"/>
              </w:rPr>
            </w:pPr>
            <w:r w:rsidRPr="0048552A">
              <w:rPr>
                <w:rStyle w:val="normaltextrun"/>
                <w:rFonts w:ascii="Calibri" w:hAnsi="Calibri" w:cs="Calibri"/>
              </w:rPr>
              <w:t>Documentación técnica</w:t>
            </w:r>
          </w:p>
        </w:tc>
      </w:tr>
      <w:tr w:rsidR="00A57A38" w:rsidRPr="00D7302F" w14:paraId="5BD0BFE0" w14:textId="77777777" w:rsidTr="00607F80">
        <w:trPr>
          <w:trHeight w:val="450"/>
        </w:trPr>
        <w:tc>
          <w:tcPr>
            <w:tcW w:w="1197" w:type="pct"/>
            <w:vMerge w:val="restart"/>
            <w:tcBorders>
              <w:top w:val="nil"/>
              <w:left w:val="double" w:sz="6" w:space="0" w:color="auto"/>
              <w:bottom w:val="single" w:sz="4" w:space="0" w:color="auto"/>
              <w:right w:val="single" w:sz="4" w:space="0" w:color="auto"/>
            </w:tcBorders>
            <w:shd w:val="clear" w:color="auto" w:fill="auto"/>
            <w:vAlign w:val="center"/>
            <w:hideMark/>
          </w:tcPr>
          <w:p w14:paraId="2F9A449D" w14:textId="41408DFE"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Observaciones:</w:t>
            </w:r>
          </w:p>
        </w:tc>
        <w:tc>
          <w:tcPr>
            <w:tcW w:w="3803" w:type="pct"/>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4C47067D" w14:textId="77777777" w:rsidR="00A57A38" w:rsidRPr="00D7302F" w:rsidRDefault="006E6673" w:rsidP="00A57A38">
            <w:pPr>
              <w:spacing w:after="0" w:line="240" w:lineRule="auto"/>
              <w:jc w:val="center"/>
              <w:rPr>
                <w:rFonts w:ascii="Arial" w:eastAsia="Times New Roman" w:hAnsi="Arial" w:cs="Arial"/>
                <w:color w:val="000000"/>
                <w:sz w:val="20"/>
                <w:szCs w:val="20"/>
                <w:lang w:eastAsia="es-CO"/>
              </w:rPr>
            </w:pPr>
            <w:r w:rsidRPr="00D7302F">
              <w:rPr>
                <w:rFonts w:ascii="Arial" w:eastAsia="Times New Roman" w:hAnsi="Arial" w:cs="Arial"/>
                <w:color w:val="000000"/>
                <w:sz w:val="20"/>
                <w:szCs w:val="20"/>
                <w:lang w:eastAsia="es-CO"/>
              </w:rPr>
              <w:t>N/A</w:t>
            </w:r>
            <w:r w:rsidR="00A57A38" w:rsidRPr="00D7302F">
              <w:rPr>
                <w:rFonts w:ascii="Arial" w:eastAsia="Times New Roman" w:hAnsi="Arial" w:cs="Arial"/>
                <w:color w:val="000000"/>
                <w:sz w:val="20"/>
                <w:szCs w:val="20"/>
                <w:lang w:eastAsia="es-CO"/>
              </w:rPr>
              <w:t> </w:t>
            </w:r>
          </w:p>
        </w:tc>
      </w:tr>
      <w:tr w:rsidR="00A57A38" w:rsidRPr="00D7302F" w14:paraId="1320F2BB" w14:textId="77777777" w:rsidTr="00607F80">
        <w:trPr>
          <w:trHeight w:val="450"/>
        </w:trPr>
        <w:tc>
          <w:tcPr>
            <w:tcW w:w="1197" w:type="pct"/>
            <w:vMerge/>
            <w:tcBorders>
              <w:top w:val="nil"/>
              <w:left w:val="double" w:sz="6" w:space="0" w:color="auto"/>
              <w:bottom w:val="single" w:sz="4" w:space="0" w:color="auto"/>
              <w:right w:val="single" w:sz="4" w:space="0" w:color="auto"/>
            </w:tcBorders>
            <w:vAlign w:val="center"/>
            <w:hideMark/>
          </w:tcPr>
          <w:p w14:paraId="725DE5BD"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p>
        </w:tc>
        <w:tc>
          <w:tcPr>
            <w:tcW w:w="3803" w:type="pct"/>
            <w:vMerge/>
            <w:tcBorders>
              <w:top w:val="single" w:sz="4" w:space="0" w:color="auto"/>
              <w:left w:val="single" w:sz="4" w:space="0" w:color="auto"/>
              <w:bottom w:val="single" w:sz="4" w:space="0" w:color="000000"/>
              <w:right w:val="double" w:sz="6" w:space="0" w:color="000000"/>
            </w:tcBorders>
            <w:vAlign w:val="center"/>
            <w:hideMark/>
          </w:tcPr>
          <w:p w14:paraId="17437D0C" w14:textId="77777777" w:rsidR="00A57A38" w:rsidRPr="00D7302F" w:rsidRDefault="00A57A38" w:rsidP="00A57A38">
            <w:pPr>
              <w:spacing w:after="0" w:line="240" w:lineRule="auto"/>
              <w:rPr>
                <w:rFonts w:ascii="Arial" w:eastAsia="Times New Roman" w:hAnsi="Arial" w:cs="Arial"/>
                <w:color w:val="000000"/>
                <w:sz w:val="20"/>
                <w:szCs w:val="20"/>
                <w:lang w:eastAsia="es-CO"/>
              </w:rPr>
            </w:pPr>
          </w:p>
        </w:tc>
      </w:tr>
    </w:tbl>
    <w:p w14:paraId="720C9A57" w14:textId="6D3243ED" w:rsidR="00A57A38" w:rsidRDefault="00A57A38">
      <w:pPr>
        <w:rPr>
          <w:rFonts w:ascii="Arial" w:hAnsi="Arial" w:cs="Arial"/>
          <w:sz w:val="20"/>
          <w:szCs w:val="20"/>
        </w:rPr>
      </w:pPr>
    </w:p>
    <w:p w14:paraId="23E3608C" w14:textId="77777777" w:rsidR="00E46FEE" w:rsidRDefault="00E46FEE">
      <w:pPr>
        <w:rPr>
          <w:rFonts w:ascii="Arial" w:hAnsi="Arial" w:cs="Arial"/>
          <w:sz w:val="20"/>
          <w:szCs w:val="20"/>
        </w:rPr>
      </w:pPr>
    </w:p>
    <w:sectPr w:rsidR="00E46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F6"/>
    <w:multiLevelType w:val="hybridMultilevel"/>
    <w:tmpl w:val="BC708B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E109A4"/>
    <w:multiLevelType w:val="hybridMultilevel"/>
    <w:tmpl w:val="1DB87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6E58AF"/>
    <w:multiLevelType w:val="hybridMultilevel"/>
    <w:tmpl w:val="F7B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C79FA"/>
    <w:multiLevelType w:val="hybridMultilevel"/>
    <w:tmpl w:val="87FC62D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39D272A"/>
    <w:multiLevelType w:val="hybridMultilevel"/>
    <w:tmpl w:val="4468D17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BF3684F"/>
    <w:multiLevelType w:val="hybridMultilevel"/>
    <w:tmpl w:val="E7E83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3F3E43"/>
    <w:multiLevelType w:val="hybridMultilevel"/>
    <w:tmpl w:val="C74AF6A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2B702D2"/>
    <w:multiLevelType w:val="hybridMultilevel"/>
    <w:tmpl w:val="C4CC81D4"/>
    <w:lvl w:ilvl="0" w:tplc="5756099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9701C8"/>
    <w:multiLevelType w:val="hybridMultilevel"/>
    <w:tmpl w:val="0926538E"/>
    <w:lvl w:ilvl="0" w:tplc="29A04B8C">
      <w:start w:val="2"/>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6270B5"/>
    <w:multiLevelType w:val="hybridMultilevel"/>
    <w:tmpl w:val="58CAA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CF0A60"/>
    <w:multiLevelType w:val="hybridMultilevel"/>
    <w:tmpl w:val="251C27A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1" w15:restartNumberingAfterBreak="0">
    <w:nsid w:val="2F8B1762"/>
    <w:multiLevelType w:val="hybridMultilevel"/>
    <w:tmpl w:val="E1E22C5C"/>
    <w:lvl w:ilvl="0" w:tplc="D18C9BD6">
      <w:start w:val="1"/>
      <w:numFmt w:val="decimal"/>
      <w:lvlText w:val="%1."/>
      <w:lvlJc w:val="left"/>
      <w:pPr>
        <w:ind w:left="1070" w:hanging="71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06255B7"/>
    <w:multiLevelType w:val="hybridMultilevel"/>
    <w:tmpl w:val="C8D2D40E"/>
    <w:lvl w:ilvl="0" w:tplc="29A04B8C">
      <w:start w:val="2"/>
      <w:numFmt w:val="bullet"/>
      <w:lvlText w:val="-"/>
      <w:lvlJc w:val="left"/>
      <w:pPr>
        <w:ind w:left="360" w:hanging="360"/>
      </w:pPr>
      <w:rPr>
        <w:rFonts w:ascii="Calibri" w:eastAsiaTheme="minorHAnsi"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6116802"/>
    <w:multiLevelType w:val="multilevel"/>
    <w:tmpl w:val="E0CA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601F0"/>
    <w:multiLevelType w:val="hybridMultilevel"/>
    <w:tmpl w:val="1AF8F766"/>
    <w:lvl w:ilvl="0" w:tplc="5756099A">
      <w:start w:val="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B2D78F6"/>
    <w:multiLevelType w:val="hybridMultilevel"/>
    <w:tmpl w:val="A1326E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B9E4FE3"/>
    <w:multiLevelType w:val="hybridMultilevel"/>
    <w:tmpl w:val="8C52C8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68F0040"/>
    <w:multiLevelType w:val="hybridMultilevel"/>
    <w:tmpl w:val="9B408B4A"/>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8" w15:restartNumberingAfterBreak="0">
    <w:nsid w:val="68B94024"/>
    <w:multiLevelType w:val="hybridMultilevel"/>
    <w:tmpl w:val="E4A07FE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9" w15:restartNumberingAfterBreak="0">
    <w:nsid w:val="7BA65587"/>
    <w:multiLevelType w:val="hybridMultilevel"/>
    <w:tmpl w:val="4242633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2"/>
  </w:num>
  <w:num w:numId="4">
    <w:abstractNumId w:val="6"/>
  </w:num>
  <w:num w:numId="5">
    <w:abstractNumId w:val="19"/>
  </w:num>
  <w:num w:numId="6">
    <w:abstractNumId w:val="17"/>
  </w:num>
  <w:num w:numId="7">
    <w:abstractNumId w:val="4"/>
  </w:num>
  <w:num w:numId="8">
    <w:abstractNumId w:val="11"/>
  </w:num>
  <w:num w:numId="9">
    <w:abstractNumId w:val="9"/>
  </w:num>
  <w:num w:numId="10">
    <w:abstractNumId w:val="7"/>
  </w:num>
  <w:num w:numId="11">
    <w:abstractNumId w:val="14"/>
  </w:num>
  <w:num w:numId="12">
    <w:abstractNumId w:val="0"/>
  </w:num>
  <w:num w:numId="13">
    <w:abstractNumId w:val="13"/>
  </w:num>
  <w:num w:numId="14">
    <w:abstractNumId w:val="5"/>
  </w:num>
  <w:num w:numId="15">
    <w:abstractNumId w:val="12"/>
  </w:num>
  <w:num w:numId="16">
    <w:abstractNumId w:val="16"/>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A38"/>
    <w:rsid w:val="000155C0"/>
    <w:rsid w:val="000344AD"/>
    <w:rsid w:val="00073796"/>
    <w:rsid w:val="000E4613"/>
    <w:rsid w:val="00114204"/>
    <w:rsid w:val="00117F40"/>
    <w:rsid w:val="00124B53"/>
    <w:rsid w:val="00131049"/>
    <w:rsid w:val="00172F0D"/>
    <w:rsid w:val="001771CD"/>
    <w:rsid w:val="001A7FA5"/>
    <w:rsid w:val="001B5D02"/>
    <w:rsid w:val="001F2E20"/>
    <w:rsid w:val="002001C0"/>
    <w:rsid w:val="0020792D"/>
    <w:rsid w:val="002236D2"/>
    <w:rsid w:val="00232EEE"/>
    <w:rsid w:val="0027578B"/>
    <w:rsid w:val="00282FD9"/>
    <w:rsid w:val="002A5A29"/>
    <w:rsid w:val="002F5BBC"/>
    <w:rsid w:val="003162C8"/>
    <w:rsid w:val="003434FC"/>
    <w:rsid w:val="00347FB5"/>
    <w:rsid w:val="00352A08"/>
    <w:rsid w:val="0039375D"/>
    <w:rsid w:val="003B24BF"/>
    <w:rsid w:val="003D3EE2"/>
    <w:rsid w:val="00406FF9"/>
    <w:rsid w:val="00471704"/>
    <w:rsid w:val="0048552A"/>
    <w:rsid w:val="004B0754"/>
    <w:rsid w:val="004F2A50"/>
    <w:rsid w:val="00506229"/>
    <w:rsid w:val="00536621"/>
    <w:rsid w:val="00540E29"/>
    <w:rsid w:val="005630DF"/>
    <w:rsid w:val="005912A7"/>
    <w:rsid w:val="005F07A3"/>
    <w:rsid w:val="00600B2B"/>
    <w:rsid w:val="00607F80"/>
    <w:rsid w:val="006660F2"/>
    <w:rsid w:val="006C4B45"/>
    <w:rsid w:val="006E6673"/>
    <w:rsid w:val="006F10E7"/>
    <w:rsid w:val="006F6D33"/>
    <w:rsid w:val="007163E7"/>
    <w:rsid w:val="00717D82"/>
    <w:rsid w:val="00734658"/>
    <w:rsid w:val="00742602"/>
    <w:rsid w:val="00757BA2"/>
    <w:rsid w:val="00760893"/>
    <w:rsid w:val="007A0357"/>
    <w:rsid w:val="007A665A"/>
    <w:rsid w:val="007F2B0B"/>
    <w:rsid w:val="008175AA"/>
    <w:rsid w:val="00823D18"/>
    <w:rsid w:val="0083776B"/>
    <w:rsid w:val="00851336"/>
    <w:rsid w:val="00866CD7"/>
    <w:rsid w:val="00883100"/>
    <w:rsid w:val="008A4048"/>
    <w:rsid w:val="00900E7C"/>
    <w:rsid w:val="009258C7"/>
    <w:rsid w:val="00927654"/>
    <w:rsid w:val="00954E89"/>
    <w:rsid w:val="00957CE9"/>
    <w:rsid w:val="0096514D"/>
    <w:rsid w:val="00974A2D"/>
    <w:rsid w:val="009F590C"/>
    <w:rsid w:val="00A34A8B"/>
    <w:rsid w:val="00A434FC"/>
    <w:rsid w:val="00A57A38"/>
    <w:rsid w:val="00A869E6"/>
    <w:rsid w:val="00AD3686"/>
    <w:rsid w:val="00B36FE5"/>
    <w:rsid w:val="00B43F6F"/>
    <w:rsid w:val="00B63172"/>
    <w:rsid w:val="00B83018"/>
    <w:rsid w:val="00B84326"/>
    <w:rsid w:val="00B86DDB"/>
    <w:rsid w:val="00B86E9E"/>
    <w:rsid w:val="00BE115E"/>
    <w:rsid w:val="00BE2F3A"/>
    <w:rsid w:val="00C20B21"/>
    <w:rsid w:val="00C25AEC"/>
    <w:rsid w:val="00C455D3"/>
    <w:rsid w:val="00C84A38"/>
    <w:rsid w:val="00CE402D"/>
    <w:rsid w:val="00D12550"/>
    <w:rsid w:val="00D163C8"/>
    <w:rsid w:val="00D551F8"/>
    <w:rsid w:val="00D7302F"/>
    <w:rsid w:val="00D80CF2"/>
    <w:rsid w:val="00DC1CE8"/>
    <w:rsid w:val="00DE1075"/>
    <w:rsid w:val="00E46FEE"/>
    <w:rsid w:val="00E55421"/>
    <w:rsid w:val="00E81EDE"/>
    <w:rsid w:val="00E83840"/>
    <w:rsid w:val="00E83AE2"/>
    <w:rsid w:val="00E87E6D"/>
    <w:rsid w:val="00EA4AEA"/>
    <w:rsid w:val="00EB3591"/>
    <w:rsid w:val="00EC3F9E"/>
    <w:rsid w:val="00EC7CC3"/>
    <w:rsid w:val="00ED4E9A"/>
    <w:rsid w:val="00F42E87"/>
    <w:rsid w:val="00F75A54"/>
    <w:rsid w:val="00F75DA0"/>
    <w:rsid w:val="00FD1FEB"/>
    <w:rsid w:val="00FD5E20"/>
    <w:rsid w:val="00FF4C7E"/>
    <w:rsid w:val="00FF7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B99D"/>
  <w15:docId w15:val="{E9C76623-2A37-4491-8186-150C5C5A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E6673"/>
    <w:rPr>
      <w:sz w:val="16"/>
      <w:szCs w:val="16"/>
    </w:rPr>
  </w:style>
  <w:style w:type="paragraph" w:styleId="Textocomentario">
    <w:name w:val="annotation text"/>
    <w:basedOn w:val="Normal"/>
    <w:link w:val="TextocomentarioCar"/>
    <w:uiPriority w:val="99"/>
    <w:semiHidden/>
    <w:unhideWhenUsed/>
    <w:rsid w:val="006E66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6673"/>
    <w:rPr>
      <w:sz w:val="20"/>
      <w:szCs w:val="20"/>
    </w:rPr>
  </w:style>
  <w:style w:type="paragraph" w:styleId="Textodeglobo">
    <w:name w:val="Balloon Text"/>
    <w:basedOn w:val="Normal"/>
    <w:link w:val="TextodegloboCar"/>
    <w:uiPriority w:val="99"/>
    <w:semiHidden/>
    <w:unhideWhenUsed/>
    <w:rsid w:val="006E66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673"/>
    <w:rPr>
      <w:rFonts w:ascii="Segoe UI" w:hAnsi="Segoe UI" w:cs="Segoe UI"/>
      <w:sz w:val="18"/>
      <w:szCs w:val="18"/>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List1,Bullet List"/>
    <w:basedOn w:val="Normal"/>
    <w:link w:val="PrrafodelistaCar"/>
    <w:uiPriority w:val="34"/>
    <w:qFormat/>
    <w:rsid w:val="00717D82"/>
    <w:pPr>
      <w:ind w:left="720"/>
      <w:contextualSpacing/>
    </w:pPr>
  </w:style>
  <w:style w:type="paragraph" w:styleId="Asuntodelcomentario">
    <w:name w:val="annotation subject"/>
    <w:basedOn w:val="Textocomentario"/>
    <w:next w:val="Textocomentario"/>
    <w:link w:val="AsuntodelcomentarioCar"/>
    <w:uiPriority w:val="99"/>
    <w:semiHidden/>
    <w:unhideWhenUsed/>
    <w:rsid w:val="0096514D"/>
    <w:rPr>
      <w:b/>
      <w:bCs/>
    </w:rPr>
  </w:style>
  <w:style w:type="character" w:customStyle="1" w:styleId="AsuntodelcomentarioCar">
    <w:name w:val="Asunto del comentario Car"/>
    <w:basedOn w:val="TextocomentarioCar"/>
    <w:link w:val="Asuntodelcomentario"/>
    <w:uiPriority w:val="99"/>
    <w:semiHidden/>
    <w:rsid w:val="0096514D"/>
    <w:rPr>
      <w:b/>
      <w:bCs/>
      <w:sz w:val="20"/>
      <w:szCs w:val="20"/>
    </w:rPr>
  </w:style>
  <w:style w:type="paragraph" w:styleId="Revisin">
    <w:name w:val="Revision"/>
    <w:hidden/>
    <w:uiPriority w:val="99"/>
    <w:semiHidden/>
    <w:rsid w:val="0096514D"/>
    <w:pPr>
      <w:spacing w:after="0" w:line="240" w:lineRule="auto"/>
    </w:p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List1 Car"/>
    <w:link w:val="Prrafodelista"/>
    <w:uiPriority w:val="34"/>
    <w:qFormat/>
    <w:locked/>
    <w:rsid w:val="002F5BBC"/>
  </w:style>
  <w:style w:type="character" w:customStyle="1" w:styleId="normaltextrun">
    <w:name w:val="normaltextrun"/>
    <w:basedOn w:val="Fuentedeprrafopredeter"/>
    <w:rsid w:val="00BE2F3A"/>
  </w:style>
  <w:style w:type="character" w:customStyle="1" w:styleId="eop">
    <w:name w:val="eop"/>
    <w:basedOn w:val="Fuentedeprrafopredeter"/>
    <w:rsid w:val="00BE2F3A"/>
  </w:style>
  <w:style w:type="paragraph" w:customStyle="1" w:styleId="paragraph">
    <w:name w:val="paragraph"/>
    <w:basedOn w:val="Normal"/>
    <w:rsid w:val="00BE2F3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39375D"/>
    <w:rPr>
      <w:i/>
      <w:iCs/>
    </w:rPr>
  </w:style>
  <w:style w:type="paragraph" w:styleId="Sinespaciado">
    <w:name w:val="No Spacing"/>
    <w:uiPriority w:val="1"/>
    <w:qFormat/>
    <w:rsid w:val="00073796"/>
    <w:rPr>
      <w:rFonts w:ascii="Calibri" w:eastAsia="Calibri" w:hAnsi="Calibri" w:cs="Times New Roman"/>
    </w:rPr>
  </w:style>
  <w:style w:type="character" w:styleId="Hipervnculo">
    <w:name w:val="Hyperlink"/>
    <w:basedOn w:val="Fuentedeprrafopredeter"/>
    <w:uiPriority w:val="99"/>
    <w:unhideWhenUsed/>
    <w:rsid w:val="00282FD9"/>
    <w:rPr>
      <w:color w:val="0000FF"/>
      <w:u w:val="single"/>
    </w:rPr>
  </w:style>
  <w:style w:type="character" w:styleId="CitaHTML">
    <w:name w:val="HTML Cite"/>
    <w:basedOn w:val="Fuentedeprrafopredeter"/>
    <w:uiPriority w:val="99"/>
    <w:semiHidden/>
    <w:unhideWhenUsed/>
    <w:rsid w:val="00282FD9"/>
    <w:rPr>
      <w:i/>
      <w:iCs/>
    </w:rPr>
  </w:style>
  <w:style w:type="paragraph" w:customStyle="1" w:styleId="action-menu-item">
    <w:name w:val="action-menu-item"/>
    <w:basedOn w:val="Normal"/>
    <w:rsid w:val="00282FD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282FD9"/>
    <w:rPr>
      <w:color w:val="605E5C"/>
      <w:shd w:val="clear" w:color="auto" w:fill="E1DFDD"/>
    </w:rPr>
  </w:style>
  <w:style w:type="paragraph" w:customStyle="1" w:styleId="Default">
    <w:name w:val="Default"/>
    <w:rsid w:val="0020792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07087">
      <w:bodyDiv w:val="1"/>
      <w:marLeft w:val="0"/>
      <w:marRight w:val="0"/>
      <w:marTop w:val="0"/>
      <w:marBottom w:val="0"/>
      <w:divBdr>
        <w:top w:val="none" w:sz="0" w:space="0" w:color="auto"/>
        <w:left w:val="none" w:sz="0" w:space="0" w:color="auto"/>
        <w:bottom w:val="none" w:sz="0" w:space="0" w:color="auto"/>
        <w:right w:val="none" w:sz="0" w:space="0" w:color="auto"/>
      </w:divBdr>
    </w:div>
    <w:div w:id="845364639">
      <w:bodyDiv w:val="1"/>
      <w:marLeft w:val="0"/>
      <w:marRight w:val="0"/>
      <w:marTop w:val="0"/>
      <w:marBottom w:val="0"/>
      <w:divBdr>
        <w:top w:val="none" w:sz="0" w:space="0" w:color="auto"/>
        <w:left w:val="none" w:sz="0" w:space="0" w:color="auto"/>
        <w:bottom w:val="none" w:sz="0" w:space="0" w:color="auto"/>
        <w:right w:val="none" w:sz="0" w:space="0" w:color="auto"/>
      </w:divBdr>
    </w:div>
    <w:div w:id="846601914">
      <w:bodyDiv w:val="1"/>
      <w:marLeft w:val="0"/>
      <w:marRight w:val="0"/>
      <w:marTop w:val="0"/>
      <w:marBottom w:val="0"/>
      <w:divBdr>
        <w:top w:val="none" w:sz="0" w:space="0" w:color="auto"/>
        <w:left w:val="none" w:sz="0" w:space="0" w:color="auto"/>
        <w:bottom w:val="none" w:sz="0" w:space="0" w:color="auto"/>
        <w:right w:val="none" w:sz="0" w:space="0" w:color="auto"/>
      </w:divBdr>
    </w:div>
    <w:div w:id="886454561">
      <w:bodyDiv w:val="1"/>
      <w:marLeft w:val="0"/>
      <w:marRight w:val="0"/>
      <w:marTop w:val="0"/>
      <w:marBottom w:val="0"/>
      <w:divBdr>
        <w:top w:val="none" w:sz="0" w:space="0" w:color="auto"/>
        <w:left w:val="none" w:sz="0" w:space="0" w:color="auto"/>
        <w:bottom w:val="none" w:sz="0" w:space="0" w:color="auto"/>
        <w:right w:val="none" w:sz="0" w:space="0" w:color="auto"/>
      </w:divBdr>
      <w:divsChild>
        <w:div w:id="1684474746">
          <w:marLeft w:val="0"/>
          <w:marRight w:val="0"/>
          <w:marTop w:val="0"/>
          <w:marBottom w:val="0"/>
          <w:divBdr>
            <w:top w:val="none" w:sz="0" w:space="0" w:color="auto"/>
            <w:left w:val="none" w:sz="0" w:space="0" w:color="auto"/>
            <w:bottom w:val="none" w:sz="0" w:space="0" w:color="auto"/>
            <w:right w:val="none" w:sz="0" w:space="0" w:color="auto"/>
          </w:divBdr>
        </w:div>
        <w:div w:id="1644387171">
          <w:marLeft w:val="0"/>
          <w:marRight w:val="0"/>
          <w:marTop w:val="0"/>
          <w:marBottom w:val="0"/>
          <w:divBdr>
            <w:top w:val="none" w:sz="0" w:space="0" w:color="auto"/>
            <w:left w:val="none" w:sz="0" w:space="0" w:color="auto"/>
            <w:bottom w:val="none" w:sz="0" w:space="0" w:color="auto"/>
            <w:right w:val="none" w:sz="0" w:space="0" w:color="auto"/>
          </w:divBdr>
        </w:div>
        <w:div w:id="2050379310">
          <w:marLeft w:val="0"/>
          <w:marRight w:val="0"/>
          <w:marTop w:val="0"/>
          <w:marBottom w:val="0"/>
          <w:divBdr>
            <w:top w:val="none" w:sz="0" w:space="0" w:color="auto"/>
            <w:left w:val="none" w:sz="0" w:space="0" w:color="auto"/>
            <w:bottom w:val="none" w:sz="0" w:space="0" w:color="auto"/>
            <w:right w:val="none" w:sz="0" w:space="0" w:color="auto"/>
          </w:divBdr>
        </w:div>
        <w:div w:id="1203634225">
          <w:marLeft w:val="0"/>
          <w:marRight w:val="0"/>
          <w:marTop w:val="0"/>
          <w:marBottom w:val="0"/>
          <w:divBdr>
            <w:top w:val="none" w:sz="0" w:space="0" w:color="auto"/>
            <w:left w:val="none" w:sz="0" w:space="0" w:color="auto"/>
            <w:bottom w:val="none" w:sz="0" w:space="0" w:color="auto"/>
            <w:right w:val="none" w:sz="0" w:space="0" w:color="auto"/>
          </w:divBdr>
        </w:div>
        <w:div w:id="1746687921">
          <w:marLeft w:val="0"/>
          <w:marRight w:val="0"/>
          <w:marTop w:val="0"/>
          <w:marBottom w:val="0"/>
          <w:divBdr>
            <w:top w:val="none" w:sz="0" w:space="0" w:color="auto"/>
            <w:left w:val="none" w:sz="0" w:space="0" w:color="auto"/>
            <w:bottom w:val="none" w:sz="0" w:space="0" w:color="auto"/>
            <w:right w:val="none" w:sz="0" w:space="0" w:color="auto"/>
          </w:divBdr>
        </w:div>
        <w:div w:id="922104627">
          <w:marLeft w:val="0"/>
          <w:marRight w:val="0"/>
          <w:marTop w:val="0"/>
          <w:marBottom w:val="0"/>
          <w:divBdr>
            <w:top w:val="none" w:sz="0" w:space="0" w:color="auto"/>
            <w:left w:val="none" w:sz="0" w:space="0" w:color="auto"/>
            <w:bottom w:val="none" w:sz="0" w:space="0" w:color="auto"/>
            <w:right w:val="none" w:sz="0" w:space="0" w:color="auto"/>
          </w:divBdr>
        </w:div>
        <w:div w:id="985551279">
          <w:marLeft w:val="0"/>
          <w:marRight w:val="0"/>
          <w:marTop w:val="0"/>
          <w:marBottom w:val="0"/>
          <w:divBdr>
            <w:top w:val="none" w:sz="0" w:space="0" w:color="auto"/>
            <w:left w:val="none" w:sz="0" w:space="0" w:color="auto"/>
            <w:bottom w:val="none" w:sz="0" w:space="0" w:color="auto"/>
            <w:right w:val="none" w:sz="0" w:space="0" w:color="auto"/>
          </w:divBdr>
        </w:div>
      </w:divsChild>
    </w:div>
    <w:div w:id="1237128872">
      <w:bodyDiv w:val="1"/>
      <w:marLeft w:val="0"/>
      <w:marRight w:val="0"/>
      <w:marTop w:val="0"/>
      <w:marBottom w:val="0"/>
      <w:divBdr>
        <w:top w:val="none" w:sz="0" w:space="0" w:color="auto"/>
        <w:left w:val="none" w:sz="0" w:space="0" w:color="auto"/>
        <w:bottom w:val="none" w:sz="0" w:space="0" w:color="auto"/>
        <w:right w:val="none" w:sz="0" w:space="0" w:color="auto"/>
      </w:divBdr>
    </w:div>
    <w:div w:id="1365012830">
      <w:bodyDiv w:val="1"/>
      <w:marLeft w:val="0"/>
      <w:marRight w:val="0"/>
      <w:marTop w:val="0"/>
      <w:marBottom w:val="0"/>
      <w:divBdr>
        <w:top w:val="none" w:sz="0" w:space="0" w:color="auto"/>
        <w:left w:val="none" w:sz="0" w:space="0" w:color="auto"/>
        <w:bottom w:val="none" w:sz="0" w:space="0" w:color="auto"/>
        <w:right w:val="none" w:sz="0" w:space="0" w:color="auto"/>
      </w:divBdr>
    </w:div>
    <w:div w:id="1458449005">
      <w:bodyDiv w:val="1"/>
      <w:marLeft w:val="0"/>
      <w:marRight w:val="0"/>
      <w:marTop w:val="0"/>
      <w:marBottom w:val="0"/>
      <w:divBdr>
        <w:top w:val="none" w:sz="0" w:space="0" w:color="auto"/>
        <w:left w:val="none" w:sz="0" w:space="0" w:color="auto"/>
        <w:bottom w:val="none" w:sz="0" w:space="0" w:color="auto"/>
        <w:right w:val="none" w:sz="0" w:space="0" w:color="auto"/>
      </w:divBdr>
      <w:divsChild>
        <w:div w:id="455441842">
          <w:marLeft w:val="0"/>
          <w:marRight w:val="0"/>
          <w:marTop w:val="0"/>
          <w:marBottom w:val="0"/>
          <w:divBdr>
            <w:top w:val="none" w:sz="0" w:space="0" w:color="auto"/>
            <w:left w:val="none" w:sz="0" w:space="0" w:color="auto"/>
            <w:bottom w:val="none" w:sz="0" w:space="0" w:color="auto"/>
            <w:right w:val="none" w:sz="0" w:space="0" w:color="auto"/>
          </w:divBdr>
        </w:div>
        <w:div w:id="865942217">
          <w:marLeft w:val="45"/>
          <w:marRight w:val="45"/>
          <w:marTop w:val="15"/>
          <w:marBottom w:val="0"/>
          <w:divBdr>
            <w:top w:val="none" w:sz="0" w:space="0" w:color="auto"/>
            <w:left w:val="none" w:sz="0" w:space="0" w:color="auto"/>
            <w:bottom w:val="none" w:sz="0" w:space="0" w:color="auto"/>
            <w:right w:val="none" w:sz="0" w:space="0" w:color="auto"/>
          </w:divBdr>
          <w:divsChild>
            <w:div w:id="11696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2721">
      <w:bodyDiv w:val="1"/>
      <w:marLeft w:val="0"/>
      <w:marRight w:val="0"/>
      <w:marTop w:val="0"/>
      <w:marBottom w:val="0"/>
      <w:divBdr>
        <w:top w:val="none" w:sz="0" w:space="0" w:color="auto"/>
        <w:left w:val="none" w:sz="0" w:space="0" w:color="auto"/>
        <w:bottom w:val="none" w:sz="0" w:space="0" w:color="auto"/>
        <w:right w:val="none" w:sz="0" w:space="0" w:color="auto"/>
      </w:divBdr>
    </w:div>
    <w:div w:id="1837576339">
      <w:bodyDiv w:val="1"/>
      <w:marLeft w:val="0"/>
      <w:marRight w:val="0"/>
      <w:marTop w:val="0"/>
      <w:marBottom w:val="0"/>
      <w:divBdr>
        <w:top w:val="none" w:sz="0" w:space="0" w:color="auto"/>
        <w:left w:val="none" w:sz="0" w:space="0" w:color="auto"/>
        <w:bottom w:val="none" w:sz="0" w:space="0" w:color="auto"/>
        <w:right w:val="none" w:sz="0" w:space="0" w:color="auto"/>
      </w:divBdr>
    </w:div>
    <w:div w:id="1849169729">
      <w:bodyDiv w:val="1"/>
      <w:marLeft w:val="0"/>
      <w:marRight w:val="0"/>
      <w:marTop w:val="0"/>
      <w:marBottom w:val="0"/>
      <w:divBdr>
        <w:top w:val="none" w:sz="0" w:space="0" w:color="auto"/>
        <w:left w:val="none" w:sz="0" w:space="0" w:color="auto"/>
        <w:bottom w:val="none" w:sz="0" w:space="0" w:color="auto"/>
        <w:right w:val="none" w:sz="0" w:space="0" w:color="auto"/>
      </w:divBdr>
    </w:div>
    <w:div w:id="1926987073">
      <w:bodyDiv w:val="1"/>
      <w:marLeft w:val="0"/>
      <w:marRight w:val="0"/>
      <w:marTop w:val="0"/>
      <w:marBottom w:val="0"/>
      <w:divBdr>
        <w:top w:val="none" w:sz="0" w:space="0" w:color="auto"/>
        <w:left w:val="none" w:sz="0" w:space="0" w:color="auto"/>
        <w:bottom w:val="none" w:sz="0" w:space="0" w:color="auto"/>
        <w:right w:val="none" w:sz="0" w:space="0" w:color="auto"/>
      </w:divBdr>
    </w:div>
    <w:div w:id="21158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D004-71EA-4F07-8D88-0E9356C9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Merchan</dc:creator>
  <cp:lastModifiedBy>Mauricio Lozada</cp:lastModifiedBy>
  <cp:revision>3</cp:revision>
  <dcterms:created xsi:type="dcterms:W3CDTF">2019-09-13T22:12:00Z</dcterms:created>
  <dcterms:modified xsi:type="dcterms:W3CDTF">2019-09-20T14:37:00Z</dcterms:modified>
</cp:coreProperties>
</file>